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C463" w14:textId="17612210" w:rsidR="007E1B5D" w:rsidRDefault="007E1B5D" w:rsidP="009C3304">
      <w:pPr>
        <w:pStyle w:val="Titre"/>
        <w:ind w:left="-426" w:right="-567"/>
      </w:pPr>
      <w:r>
        <w:t>Annexe documentaire pour la classe de 1</w:t>
      </w:r>
      <w:r w:rsidRPr="00C97B50">
        <w:rPr>
          <w:vertAlign w:val="superscript"/>
        </w:rPr>
        <w:t>re</w:t>
      </w:r>
      <w:r>
        <w:t xml:space="preserve"> BAC PRO</w:t>
      </w:r>
    </w:p>
    <w:p w14:paraId="1E2B9DFB" w14:textId="3178A970" w:rsidR="00343C0B" w:rsidRDefault="00C97B50" w:rsidP="00343C0B">
      <w:pPr>
        <w:pStyle w:val="Titre"/>
      </w:pPr>
      <w:r>
        <w:t>Cohésion et diversité dans une société démocratique</w:t>
      </w:r>
    </w:p>
    <w:p w14:paraId="48D6D7F1" w14:textId="7414550D" w:rsidR="00C97B50" w:rsidRDefault="00BC3345" w:rsidP="00BC3345">
      <w:pPr>
        <w:pStyle w:val="Titre1"/>
      </w:pPr>
      <w:r>
        <w:t>Les valeurs et les principes de la République à l’épreuve de la cohésion sociale</w:t>
      </w:r>
    </w:p>
    <w:p w14:paraId="126BE48A" w14:textId="6D22ABD2" w:rsidR="00BC3345" w:rsidRDefault="00BC3345" w:rsidP="007E1B5D">
      <w:pPr>
        <w:pStyle w:val="Titre2"/>
        <w:spacing w:before="100"/>
      </w:pPr>
      <w:r>
        <w:t>Proposition d’activité : Fraternité et solidarité au prisme de la pauvreté en France</w:t>
      </w:r>
    </w:p>
    <w:p w14:paraId="273F851F" w14:textId="452A533A" w:rsidR="00BC3345" w:rsidRPr="00893D02" w:rsidRDefault="00BC3345" w:rsidP="00BC3345">
      <w:pPr>
        <w:pStyle w:val="Encadrdocumenttitre"/>
      </w:pPr>
      <w:r w:rsidRPr="00893D02">
        <w:t xml:space="preserve">Document 1 : </w:t>
      </w:r>
      <w:r w:rsidRPr="00347A50">
        <w:t>Synthèse</w:t>
      </w:r>
      <w:r>
        <w:t xml:space="preserve"> vidéo</w:t>
      </w:r>
      <w:r w:rsidRPr="00347A50">
        <w:t xml:space="preserve"> </w:t>
      </w:r>
      <w:r>
        <w:t xml:space="preserve">sur le site </w:t>
      </w:r>
      <w:r w:rsidRPr="00347A50">
        <w:t>de l’Observatoire des inégalités</w:t>
      </w:r>
      <w:r>
        <w:rPr>
          <w:rStyle w:val="Appelnotedebasdep"/>
          <w:szCs w:val="18"/>
        </w:rPr>
        <w:footnoteReference w:id="1"/>
      </w:r>
      <w:r>
        <w:t xml:space="preserve">, </w:t>
      </w:r>
      <w:hyperlink r:id="rId8" w:history="1">
        <w:r w:rsidRPr="009A4E69">
          <w:rPr>
            <w:rStyle w:val="Lienhypertexte"/>
            <w:szCs w:val="18"/>
          </w:rPr>
          <w:t>Rapport sur la pauvreté en France, édition 2024-2025.</w:t>
        </w:r>
      </w:hyperlink>
      <w:r w:rsidRPr="009A4E69">
        <w:t xml:space="preserve"> Sous la direction d’Anne Brunner et Louis </w:t>
      </w:r>
      <w:proofErr w:type="spellStart"/>
      <w:r w:rsidRPr="009A4E69">
        <w:t>Maurin</w:t>
      </w:r>
      <w:proofErr w:type="spellEnd"/>
      <w:r w:rsidRPr="009A4E69">
        <w:t>, édité par l’Observatoire des inégalités, décembre 2024</w:t>
      </w:r>
      <w:r>
        <w:rPr>
          <w:rStyle w:val="Appelnotedebasdep"/>
        </w:rPr>
        <w:footnoteReference w:id="2"/>
      </w:r>
      <w:r w:rsidRPr="009A4E69">
        <w:t>.</w:t>
      </w:r>
    </w:p>
    <w:p w14:paraId="759EFD6E" w14:textId="77777777" w:rsidR="00BC3345" w:rsidRPr="00785639" w:rsidRDefault="00BC3345" w:rsidP="00BC3345">
      <w:pPr>
        <w:pStyle w:val="Encadrdocumenttitre"/>
        <w:rPr>
          <w:u w:val="single"/>
        </w:rPr>
      </w:pPr>
      <w:r w:rsidRPr="00893D02">
        <w:t>Document 2 :</w:t>
      </w:r>
      <w:r w:rsidRPr="00785639">
        <w:t xml:space="preserve"> Claire </w:t>
      </w:r>
      <w:proofErr w:type="spellStart"/>
      <w:r w:rsidRPr="00785639">
        <w:t>Ané</w:t>
      </w:r>
      <w:proofErr w:type="spellEnd"/>
      <w:r w:rsidRPr="00785639">
        <w:t xml:space="preserve">, </w:t>
      </w:r>
      <w:r w:rsidRPr="0016675E">
        <w:t>« La pauvreté et les inégalités au plus haut depuis trente ans »,</w:t>
      </w:r>
      <w:r w:rsidRPr="00785639">
        <w:t xml:space="preserve"> </w:t>
      </w:r>
      <w:r w:rsidRPr="00893D02">
        <w:rPr>
          <w:i/>
          <w:iCs/>
        </w:rPr>
        <w:t>Le Monde</w:t>
      </w:r>
      <w:r w:rsidRPr="00785639">
        <w:t xml:space="preserve">, 07 juillet 2025. </w:t>
      </w:r>
    </w:p>
    <w:p w14:paraId="6F6D6935" w14:textId="414CD94C" w:rsidR="00BC3345" w:rsidRPr="001906B1" w:rsidRDefault="00BC3345" w:rsidP="00BC3345">
      <w:pPr>
        <w:pStyle w:val="Encadrdocument"/>
        <w:rPr>
          <w:b/>
        </w:rPr>
      </w:pPr>
      <w:r w:rsidRPr="001906B1">
        <w:t>L’</w:t>
      </w:r>
      <w:r w:rsidR="00D07582">
        <w:t>Insee</w:t>
      </w:r>
      <w:r w:rsidRPr="001906B1">
        <w:t xml:space="preserve"> a publié, lundi 7 juillet, ses données pour l’année 2023 : le taux de pauvreté atteint 15,4 %, son plus haut niveau depuis le début du décompte en 1996. L’écart entre les 20 % les plus riches et les 20 % les plus pauvres s’est creusé, proche de celui du début des années 1970.</w:t>
      </w:r>
      <w:r>
        <w:t xml:space="preserve"> </w:t>
      </w:r>
      <w:r w:rsidRPr="00D16BB5">
        <w:t>C</w:t>
      </w:r>
      <w:r w:rsidRPr="001906B1">
        <w:t>ela fait presque trente ans que l’Institut national de la statistique et des études économiques (</w:t>
      </w:r>
      <w:r w:rsidR="00D07582">
        <w:t>Insee</w:t>
      </w:r>
      <w:r w:rsidRPr="001906B1">
        <w:t xml:space="preserve">) mesure, chaque année, la pauvreté et les inégalités au sein de la population de France métropolitaine vivant en logement ordinaire. Jamais celles-ci n’avaient atteint les sommets enregistrés pour l’année 2023, </w:t>
      </w:r>
      <w:hyperlink r:id="rId9" w:tgtFrame="_blank" w:tooltip="Nouvelle fenêtre" w:history="1">
        <w:r w:rsidRPr="001906B1">
          <w:rPr>
            <w:rStyle w:val="Lienhypertexte"/>
            <w:b/>
            <w:bCs w:val="0"/>
            <w:szCs w:val="18"/>
          </w:rPr>
          <w:t>publiés lundi 7 juillet</w:t>
        </w:r>
      </w:hyperlink>
      <w:r w:rsidRPr="001906B1">
        <w:t> : 9,8 millions d’habitants vivent sous le seuil de pauvreté monétaire, fixé à 60 % du revenu mensuel médian, soit 1 288 euros, pour une personne seule.</w:t>
      </w:r>
    </w:p>
    <w:p w14:paraId="536A0705" w14:textId="77777777" w:rsidR="00BC3345" w:rsidRPr="001906B1" w:rsidRDefault="00BC3345" w:rsidP="00BC3345">
      <w:pPr>
        <w:pStyle w:val="Encadrdocument"/>
        <w:rPr>
          <w:b/>
        </w:rPr>
      </w:pPr>
      <w:r w:rsidRPr="001906B1">
        <w:t>Environ 650 000 personnes ont basculé dans la pauvreté en l’espace d’une année, soit la progression la plus forte depuis 1996, début de la méthode de calcul actuelle. Le taux de pauvreté a atteint 15,4 %, après 14,4 % en 2022, soit un niveau et une hausse également record. Il en va de même concernant les inégalités : les 20 % les plus riches ont eu des revenus 4,5 fois supérieurs aux 20 % les plus pauvres, un écart historique sur les trente dernières années. Le coefficient de Gini</w:t>
      </w:r>
      <w:r>
        <w:rPr>
          <w:rStyle w:val="Appelnotedebasdep"/>
          <w:szCs w:val="18"/>
        </w:rPr>
        <w:footnoteReference w:id="3"/>
      </w:r>
      <w:r w:rsidRPr="001906B1">
        <w:t>, autre mesure des inégalités, frôle son maximum, atteint en 2011.</w:t>
      </w:r>
      <w:r>
        <w:t xml:space="preserve"> (…)</w:t>
      </w:r>
    </w:p>
    <w:p w14:paraId="259C32E5" w14:textId="77777777" w:rsidR="00BC3345" w:rsidRPr="00893D02" w:rsidRDefault="00BC3345" w:rsidP="00BC3345">
      <w:pPr>
        <w:pStyle w:val="Encadrdocument"/>
        <w:rPr>
          <w:b/>
          <w:bCs w:val="0"/>
        </w:rPr>
      </w:pPr>
      <w:r w:rsidRPr="00893D02">
        <w:rPr>
          <w:b/>
          <w:bCs w:val="0"/>
        </w:rPr>
        <w:t>Phénomène des « travailleurs pauvres »</w:t>
      </w:r>
    </w:p>
    <w:p w14:paraId="74593A21" w14:textId="75576E01" w:rsidR="00BC3345" w:rsidRPr="001906B1" w:rsidRDefault="00BC3345" w:rsidP="00BC3345">
      <w:pPr>
        <w:pStyle w:val="Encadrdocument"/>
        <w:rPr>
          <w:b/>
        </w:rPr>
      </w:pPr>
      <w:r w:rsidRPr="001906B1">
        <w:t xml:space="preserve">Selon M. </w:t>
      </w:r>
      <w:proofErr w:type="spellStart"/>
      <w:r w:rsidRPr="001906B1">
        <w:t>Duée</w:t>
      </w:r>
      <w:proofErr w:type="spellEnd"/>
      <w:r>
        <w:t xml:space="preserve"> [</w:t>
      </w:r>
      <w:r w:rsidRPr="001906B1">
        <w:t>chef du département des ressources et des conditions de vie des ménages de l’</w:t>
      </w:r>
      <w:r w:rsidR="00D07582">
        <w:t>Insee</w:t>
      </w:r>
      <w:r>
        <w:t>]</w:t>
      </w:r>
      <w:r w:rsidRPr="001906B1">
        <w:t>, « </w:t>
      </w:r>
      <w:r w:rsidRPr="00893D02">
        <w:rPr>
          <w:i/>
          <w:iCs/>
        </w:rPr>
        <w:t>cette baisse du niveau de vie des plus modestes s’explique par l’arrêt des mesures exceptionnelles, qui avaient été prises en 2022 – l’indemnité inflation, la prime exceptionnelle de rentrée, la revalorisation anticipée des prestations sociales –, ainsi que par une hausse du nombre des micro-entrepreneurs aux revenus faibles</w:t>
      </w:r>
      <w:r w:rsidRPr="001906B1">
        <w:t> ». De plus, les aides au logement n’ont pas été revalorisées à la hauteur de l’inflation et elles ont bénéficié à moins de personnes que les années précédentes.</w:t>
      </w:r>
    </w:p>
    <w:p w14:paraId="1E17F402" w14:textId="77777777" w:rsidR="00BC3345" w:rsidRPr="001906B1" w:rsidRDefault="00BC3345" w:rsidP="00BC3345">
      <w:pPr>
        <w:pStyle w:val="Encadrdocument"/>
        <w:rPr>
          <w:b/>
        </w:rPr>
      </w:pPr>
      <w:r w:rsidRPr="001906B1">
        <w:lastRenderedPageBreak/>
        <w:t xml:space="preserve">Le phénomène des « travailleurs pauvres » se renforce (8,3 % des actifs en emploi sont pauvres, en hausse de 0,6 point), tout comme la pauvreté des chômeurs (36,1 %, en hausse de 0,8 point), notamment liée à </w:t>
      </w:r>
      <w:hyperlink r:id="rId10" w:history="1">
        <w:r w:rsidRPr="001906B1">
          <w:rPr>
            <w:rStyle w:val="Lienhypertexte"/>
            <w:b/>
            <w:bCs w:val="0"/>
            <w:szCs w:val="18"/>
          </w:rPr>
          <w:t>la réforme de l’assurance-chômage</w:t>
        </w:r>
      </w:hyperlink>
      <w:r w:rsidRPr="001906B1">
        <w:t xml:space="preserve">. </w:t>
      </w:r>
      <w:r>
        <w:t xml:space="preserve">(…) </w:t>
      </w:r>
    </w:p>
    <w:p w14:paraId="17F8B97C" w14:textId="77777777" w:rsidR="00BC3345" w:rsidRPr="001906B1" w:rsidRDefault="00BC3345" w:rsidP="00BC3345">
      <w:pPr>
        <w:pStyle w:val="Encadrdocument"/>
        <w:rPr>
          <w:b/>
          <w:szCs w:val="18"/>
        </w:rPr>
      </w:pPr>
      <w:r w:rsidRPr="001906B1">
        <w:rPr>
          <w:szCs w:val="18"/>
        </w:rPr>
        <w:t xml:space="preserve">La pauvreté des familles monoparentales a particulièrement augmenté, passant de 31,4 % à 34,3 %. La revalorisation de </w:t>
      </w:r>
      <w:hyperlink r:id="rId11" w:history="1">
        <w:r w:rsidRPr="001906B1">
          <w:rPr>
            <w:rStyle w:val="Lienhypertexte"/>
            <w:b/>
            <w:bCs w:val="0"/>
            <w:szCs w:val="18"/>
          </w:rPr>
          <w:t>l’allocation de soutien familial</w:t>
        </w:r>
        <w:r>
          <w:rPr>
            <w:rStyle w:val="Appelnotedebasdep"/>
            <w:szCs w:val="18"/>
          </w:rPr>
          <w:footnoteReference w:id="4"/>
        </w:r>
        <w:r w:rsidRPr="001906B1">
          <w:rPr>
            <w:rStyle w:val="Lienhypertexte"/>
            <w:b/>
            <w:bCs w:val="0"/>
            <w:szCs w:val="18"/>
          </w:rPr>
          <w:t xml:space="preserve"> de 50 %, fin 2022</w:t>
        </w:r>
      </w:hyperlink>
      <w:r w:rsidRPr="001906B1">
        <w:rPr>
          <w:szCs w:val="18"/>
        </w:rPr>
        <w:t>, n’a pas compensé l’arrêt des aides exceptionnelles, et certaines familles ont, par ailleurs, connu des périodes d’emploi plus courtes dans l’année et des temps partiels avec moins d’heures. Cela a contribué à faire progresser le taux de pauvreté des enfants, qui a atteint 21,9 % (+ 1,5 point).</w:t>
      </w:r>
    </w:p>
    <w:p w14:paraId="3BF08BD6" w14:textId="23404ECD" w:rsidR="00BC3345" w:rsidRPr="001906B1" w:rsidRDefault="00BC3345" w:rsidP="00BC3345">
      <w:pPr>
        <w:pStyle w:val="Encadrdocument"/>
        <w:rPr>
          <w:b/>
        </w:rPr>
      </w:pPr>
      <w:r w:rsidRPr="001906B1">
        <w:t>Ces différents chiffres sont cependant en deçà de la pauvreté monétaire réelle, puisqu’ils n’incluent ni les habitants des départements d’outre-mer, ni les personnes sans abri, ni celles qui vivent en habitation mobile ou en institution (établissements d’hébergement pour personnes âgées dépendantes, foyers de jeunes travailleurs…), ni les ménages dont la personne de référence est étudiante. L’</w:t>
      </w:r>
      <w:r w:rsidR="00D07582">
        <w:t>Insee</w:t>
      </w:r>
      <w:r w:rsidRPr="001906B1">
        <w:t xml:space="preserve"> avait estimé, grâce à des sources complémentaires, que ces différentes catégories totalisaient, en 2021, plus de 2 millions de personnes pauvres, à ajouter aux 9,1 millions recensés en logement ordinaire en France métropolitaine.</w:t>
      </w:r>
    </w:p>
    <w:p w14:paraId="163156A7" w14:textId="77777777" w:rsidR="00BC3345" w:rsidRPr="001906B1" w:rsidRDefault="00BC3345" w:rsidP="00BC3345">
      <w:pPr>
        <w:pStyle w:val="Encadrdocument"/>
        <w:rPr>
          <w:b/>
        </w:rPr>
      </w:pPr>
      <w:r w:rsidRPr="001906B1">
        <w:t xml:space="preserve">Pour le président du Conseil national des politiques de lutte contre la pauvreté (CNLE), le sociologue Nicolas </w:t>
      </w:r>
      <w:proofErr w:type="spellStart"/>
      <w:r w:rsidRPr="001906B1">
        <w:t>Duvoux</w:t>
      </w:r>
      <w:proofErr w:type="spellEnd"/>
      <w:r w:rsidRPr="001906B1">
        <w:t>, « </w:t>
      </w:r>
      <w:r w:rsidRPr="00893D02">
        <w:rPr>
          <w:i/>
          <w:iCs/>
        </w:rPr>
        <w:t>un seuil d’alerte a été franchi</w:t>
      </w:r>
      <w:r w:rsidRPr="001906B1">
        <w:t> ». « </w:t>
      </w:r>
      <w:r w:rsidRPr="00893D02">
        <w:rPr>
          <w:i/>
          <w:iCs/>
        </w:rPr>
        <w:t>Nous ne sommes plus sur une stabilisation de la pauvreté à un niveau élevé, mais dans une dynamique de hausse</w:t>
      </w:r>
      <w:r w:rsidRPr="001906B1">
        <w:t> », affirme-t-il. Le constat dressé dans une récente étude du CNLE, portant sur les années 2015 à 2022, se trouve confirmé : « </w:t>
      </w:r>
      <w:r w:rsidRPr="00893D02">
        <w:rPr>
          <w:i/>
          <w:iCs/>
        </w:rPr>
        <w:t>La baisse du chômage n’entraîne plus comme avant une baisse de la pauvreté : il y a une précarité du marché du travail, et l’encouragement au développement du statut de micro-entrepreneur n’a pas permis d’endiguer [sa progression] », constate le chercheur, qui appelle à une « action résolue</w:t>
      </w:r>
      <w:r w:rsidRPr="001906B1">
        <w:t> ».</w:t>
      </w:r>
    </w:p>
    <w:p w14:paraId="7DD60A33" w14:textId="77777777" w:rsidR="00BC3345" w:rsidRPr="00893D02" w:rsidRDefault="00BC3345" w:rsidP="00BC3345">
      <w:pPr>
        <w:pStyle w:val="Encadrdocument"/>
        <w:rPr>
          <w:b/>
          <w:bCs w:val="0"/>
        </w:rPr>
      </w:pPr>
      <w:r w:rsidRPr="00893D02">
        <w:rPr>
          <w:b/>
          <w:bCs w:val="0"/>
        </w:rPr>
        <w:t>« Se doter d’une stratégie »</w:t>
      </w:r>
    </w:p>
    <w:p w14:paraId="175235F3" w14:textId="77777777" w:rsidR="00BC3345" w:rsidRPr="001906B1" w:rsidRDefault="00BC3345" w:rsidP="00BC3345">
      <w:pPr>
        <w:pStyle w:val="Encadrdocument"/>
        <w:rPr>
          <w:b/>
        </w:rPr>
      </w:pPr>
      <w:r w:rsidRPr="001906B1">
        <w:rPr>
          <w:i/>
          <w:iCs/>
        </w:rPr>
        <w:t>« Le constat est dramatique et insupportable, avec près d’un Français sur six en situation de pauvreté en 2023 »</w:t>
      </w:r>
      <w:r w:rsidRPr="001906B1">
        <w:t xml:space="preserve">, réagit Delphine </w:t>
      </w:r>
      <w:proofErr w:type="spellStart"/>
      <w:r w:rsidRPr="001906B1">
        <w:t>Rouilleault</w:t>
      </w:r>
      <w:proofErr w:type="spellEnd"/>
      <w:r w:rsidRPr="001906B1">
        <w:t>, la présidente du collectif Alerte, qui rassemble 37 associations nationales de solidarité (Emmaüs, Secours catholique, ATD Quart Monde, Fondation pour le logement des défavorisés, etc.).</w:t>
      </w:r>
    </w:p>
    <w:p w14:paraId="47EC62A6" w14:textId="469E656C" w:rsidR="00BC3345" w:rsidRPr="001906B1" w:rsidRDefault="00BC3345" w:rsidP="00BC3345">
      <w:pPr>
        <w:pStyle w:val="Encadrdocument"/>
        <w:rPr>
          <w:b/>
        </w:rPr>
      </w:pPr>
      <w:r w:rsidRPr="001906B1">
        <w:t>Si ni l’</w:t>
      </w:r>
      <w:r w:rsidR="00D07582">
        <w:t>Insee</w:t>
      </w:r>
      <w:r w:rsidRPr="001906B1">
        <w:t xml:space="preserve"> ni le CNLE ne se risquent à formuler des hypothèses pour 2024, le collectif Alerte craint, pour sa part, que cette paupérisation continue, du fait de mesures récentes : l’obligation faite aux allocataires du revenu de solidarité active, depuis le 1</w:t>
      </w:r>
      <w:r w:rsidRPr="001906B1">
        <w:rPr>
          <w:vertAlign w:val="superscript"/>
        </w:rPr>
        <w:t>er</w:t>
      </w:r>
      <w:r w:rsidRPr="001906B1">
        <w:t xml:space="preserve"> janvier, </w:t>
      </w:r>
      <w:hyperlink r:id="rId12" w:history="1">
        <w:r w:rsidRPr="001906B1">
          <w:rPr>
            <w:rStyle w:val="Lienhypertexte"/>
            <w:b/>
            <w:bCs w:val="0"/>
            <w:szCs w:val="18"/>
          </w:rPr>
          <w:t>d’effectuer quinze heures d’activité hebdomadaires</w:t>
        </w:r>
      </w:hyperlink>
      <w:r w:rsidRPr="001906B1">
        <w:t xml:space="preserve">, sous peine de sanctions, qui risque d’augmenter le taux de non-recours à cette aide, déjà élevé ; la baisse, dès 2025, des financements alloués à l’insertion par l’activité économique et des crédits exceptionnels accordés à l’aide alimentaire ; </w:t>
      </w:r>
      <w:hyperlink r:id="rId13" w:history="1">
        <w:r w:rsidRPr="001906B1">
          <w:rPr>
            <w:rStyle w:val="Lienhypertexte"/>
            <w:b/>
            <w:bCs w:val="0"/>
            <w:szCs w:val="18"/>
          </w:rPr>
          <w:t xml:space="preserve">la loi </w:t>
        </w:r>
        <w:proofErr w:type="spellStart"/>
        <w:r w:rsidRPr="001906B1">
          <w:rPr>
            <w:rStyle w:val="Lienhypertexte"/>
            <w:b/>
            <w:bCs w:val="0"/>
            <w:szCs w:val="18"/>
          </w:rPr>
          <w:t>Kasbarian</w:t>
        </w:r>
        <w:proofErr w:type="spellEnd"/>
        <w:r w:rsidRPr="001906B1">
          <w:rPr>
            <w:rStyle w:val="Lienhypertexte"/>
            <w:b/>
            <w:bCs w:val="0"/>
            <w:szCs w:val="18"/>
          </w:rPr>
          <w:t>-Bergé</w:t>
        </w:r>
      </w:hyperlink>
      <w:r>
        <w:rPr>
          <w:rStyle w:val="Appelnotedebasdep"/>
          <w:szCs w:val="18"/>
          <w:u w:val="single"/>
        </w:rPr>
        <w:footnoteReference w:id="5"/>
      </w:r>
      <w:r w:rsidRPr="001906B1">
        <w:t xml:space="preserve"> de juillet 2023, qui a contribué au nombre record d’expulsions locatives.</w:t>
      </w:r>
    </w:p>
    <w:p w14:paraId="52915D0F" w14:textId="77777777" w:rsidR="00BC3345" w:rsidRPr="00893D02" w:rsidRDefault="00BC3345" w:rsidP="00BC3345">
      <w:pPr>
        <w:pStyle w:val="Encadrdocument"/>
        <w:rPr>
          <w:b/>
          <w:i/>
          <w:iCs/>
        </w:rPr>
      </w:pPr>
      <w:r w:rsidRPr="001906B1">
        <w:t>Les associations du collectif Alerte ont rencontré le premier ministre, François Bayrou, jeudi 3 juillet</w:t>
      </w:r>
      <w:r>
        <w:t xml:space="preserve"> [2025]</w:t>
      </w:r>
      <w:r w:rsidRPr="001906B1">
        <w:t xml:space="preserve">. Ce dernier s’est engagé à maintenir, en 2026, </w:t>
      </w:r>
      <w:hyperlink r:id="rId14" w:history="1">
        <w:r w:rsidRPr="001906B1">
          <w:rPr>
            <w:rStyle w:val="Lienhypertexte"/>
            <w:b/>
            <w:bCs w:val="0"/>
            <w:szCs w:val="18"/>
          </w:rPr>
          <w:t>les 203 000 places d’hébergement d’urgence actuelles</w:t>
        </w:r>
      </w:hyperlink>
      <w:r w:rsidRPr="001906B1">
        <w:t xml:space="preserve">, et à fixer un objectif à dix ans de réduction de la pauvreté, comme prévu par une loi de 2008. </w:t>
      </w:r>
      <w:r w:rsidRPr="001906B1">
        <w:rPr>
          <w:i/>
          <w:iCs/>
        </w:rPr>
        <w:t>« Il faut aussi se doter d’une stratégie et de moyens</w:t>
      </w:r>
      <w:r w:rsidRPr="001906B1">
        <w:t xml:space="preserve">, exhorte Delphine </w:t>
      </w:r>
      <w:proofErr w:type="spellStart"/>
      <w:r w:rsidRPr="001906B1">
        <w:t>Rouilleault</w:t>
      </w:r>
      <w:proofErr w:type="spellEnd"/>
      <w:r w:rsidRPr="001906B1">
        <w:t>.</w:t>
      </w:r>
      <w:r w:rsidRPr="001906B1">
        <w:rPr>
          <w:i/>
          <w:iCs/>
        </w:rPr>
        <w:t xml:space="preserve"> Il existe des marges de manœuvre, avec des niches fiscales et des aides aux entreprises injustes ou inefficaces. Geler les prestations sociales en 2026, comme cela a été suggéré dans le cadre d’une année blanche, est, en revanche, inenvisageable. »</w:t>
      </w:r>
    </w:p>
    <w:p w14:paraId="61CD0839" w14:textId="1A1B4788" w:rsidR="00BC3345" w:rsidRDefault="00BC3345">
      <w:r>
        <w:br w:type="page"/>
      </w:r>
    </w:p>
    <w:p w14:paraId="7D08FB5D" w14:textId="77777777" w:rsidR="00BC3345" w:rsidRDefault="00BC3345" w:rsidP="00BC3345">
      <w:pPr>
        <w:pStyle w:val="Titre2"/>
      </w:pPr>
      <w:r>
        <w:lastRenderedPageBreak/>
        <w:t>Proposition de séquence : L’égalité femmes-hommes,</w:t>
      </w:r>
      <w:r w:rsidRPr="00951B8C">
        <w:t xml:space="preserve"> objet de mobilisations</w:t>
      </w:r>
      <w:r>
        <w:t xml:space="preserve">, entre </w:t>
      </w:r>
      <w:r w:rsidRPr="00951B8C">
        <w:t>politiques volontaristes</w:t>
      </w:r>
      <w:r>
        <w:t xml:space="preserve"> et</w:t>
      </w:r>
      <w:r w:rsidRPr="00951B8C">
        <w:t xml:space="preserve"> résistance</w:t>
      </w:r>
      <w:r>
        <w:t>s</w:t>
      </w:r>
    </w:p>
    <w:p w14:paraId="62C67D6C" w14:textId="47FA5FC2" w:rsidR="00BC3345" w:rsidRPr="00582F73" w:rsidRDefault="00BC3345" w:rsidP="00582F73">
      <w:pPr>
        <w:pStyle w:val="Titre3"/>
        <w:rPr>
          <w:rStyle w:val="Titre3Car"/>
          <w:b/>
        </w:rPr>
      </w:pPr>
      <w:r w:rsidRPr="00582F73">
        <w:rPr>
          <w:rStyle w:val="Titre3Car"/>
          <w:b/>
        </w:rPr>
        <w:t xml:space="preserve">Séance 1 : </w:t>
      </w:r>
      <w:r w:rsidR="00582F73">
        <w:rPr>
          <w:rStyle w:val="Titre3Car"/>
          <w:b/>
        </w:rPr>
        <w:t>u</w:t>
      </w:r>
      <w:r w:rsidRPr="00582F73">
        <w:rPr>
          <w:rStyle w:val="Titre3Car"/>
          <w:b/>
        </w:rPr>
        <w:t>ne représentation inégalitaire des femmes et des hommes dans la culture</w:t>
      </w:r>
    </w:p>
    <w:p w14:paraId="73C6725F" w14:textId="77777777" w:rsidR="00BC3345" w:rsidRDefault="00BC3345" w:rsidP="00BC3345">
      <w:pPr>
        <w:pStyle w:val="Encadrdocumenttitre"/>
      </w:pPr>
      <w:r>
        <w:t xml:space="preserve">Documents supports possibles </w:t>
      </w:r>
    </w:p>
    <w:p w14:paraId="1F1E9F86" w14:textId="77777777" w:rsidR="00BC3345" w:rsidRDefault="00BC3345" w:rsidP="006C0719">
      <w:pPr>
        <w:pStyle w:val="Encadrdocument"/>
        <w:numPr>
          <w:ilvl w:val="0"/>
          <w:numId w:val="5"/>
        </w:numPr>
      </w:pPr>
      <w:r>
        <w:t xml:space="preserve">Rubens, </w:t>
      </w:r>
      <w:r>
        <w:rPr>
          <w:i/>
          <w:iCs/>
        </w:rPr>
        <w:t>Suzanne et les Vieillards</w:t>
      </w:r>
      <w:r>
        <w:t xml:space="preserve">, 1636-1638, Alte </w:t>
      </w:r>
      <w:proofErr w:type="spellStart"/>
      <w:r>
        <w:t>Pinakothek</w:t>
      </w:r>
      <w:proofErr w:type="spellEnd"/>
      <w:r>
        <w:t xml:space="preserve">, Munich. </w:t>
      </w:r>
    </w:p>
    <w:p w14:paraId="74DA98A4" w14:textId="77777777" w:rsidR="00BC3345" w:rsidRDefault="00BC3345" w:rsidP="006C0719">
      <w:pPr>
        <w:pStyle w:val="Encadrdocument"/>
        <w:numPr>
          <w:ilvl w:val="0"/>
          <w:numId w:val="5"/>
        </w:numPr>
      </w:pPr>
      <w:r>
        <w:t xml:space="preserve">Jean-Honoré Fragonard, </w:t>
      </w:r>
      <w:r>
        <w:rPr>
          <w:i/>
          <w:iCs/>
        </w:rPr>
        <w:t>Le Verrou,</w:t>
      </w:r>
      <w:r>
        <w:t xml:space="preserve"> 1777-1778, </w:t>
      </w:r>
      <w:hyperlink r:id="rId15" w:history="1">
        <w:r w:rsidRPr="00E532E3">
          <w:rPr>
            <w:rStyle w:val="Lienhypertexte"/>
          </w:rPr>
          <w:t>Musée du Louvre</w:t>
        </w:r>
      </w:hyperlink>
      <w:r>
        <w:t xml:space="preserve">, </w:t>
      </w:r>
      <w:proofErr w:type="gramStart"/>
      <w:r>
        <w:t>Paris,.</w:t>
      </w:r>
      <w:proofErr w:type="gramEnd"/>
      <w:r>
        <w:t xml:space="preserve"> Voir aussi l’analyse de l’œuvre sur le site </w:t>
      </w:r>
      <w:hyperlink r:id="rId16" w:history="1">
        <w:r w:rsidRPr="00E532E3">
          <w:rPr>
            <w:rStyle w:val="Lienhypertexte"/>
          </w:rPr>
          <w:t>histoire-image.org</w:t>
        </w:r>
      </w:hyperlink>
      <w:r>
        <w:t xml:space="preserve"> </w:t>
      </w:r>
    </w:p>
    <w:p w14:paraId="011EB7EE" w14:textId="77777777" w:rsidR="00BC3345" w:rsidRPr="00467274" w:rsidRDefault="00BC3345" w:rsidP="006C0719">
      <w:pPr>
        <w:pStyle w:val="Encadrdocument"/>
        <w:numPr>
          <w:ilvl w:val="0"/>
          <w:numId w:val="5"/>
        </w:numPr>
        <w:rPr>
          <w:lang w:val="en-US"/>
        </w:rPr>
      </w:pPr>
      <w:r w:rsidRPr="00467274">
        <w:rPr>
          <w:lang w:val="en-US"/>
        </w:rPr>
        <w:t xml:space="preserve">Norman Rockwell, </w:t>
      </w:r>
      <w:r w:rsidRPr="00467274">
        <w:rPr>
          <w:i/>
          <w:iCs/>
          <w:lang w:val="en-US"/>
        </w:rPr>
        <w:t>The Holdout (The Jury)</w:t>
      </w:r>
      <w:r w:rsidRPr="00467274">
        <w:rPr>
          <w:lang w:val="en-US"/>
        </w:rPr>
        <w:t xml:space="preserve">, 1959, https://www.saturdayeveningpost.com/2019/06/the-rockwell-files-the-holdout/ </w:t>
      </w:r>
    </w:p>
    <w:p w14:paraId="1282CBC1" w14:textId="77777777" w:rsidR="00BC3345" w:rsidRDefault="00BC3345" w:rsidP="00BC3345">
      <w:pPr>
        <w:pStyle w:val="Encadrdocument"/>
      </w:pPr>
      <w:r>
        <w:t>S’appuyer sur les ressources proposées par le portail Genrimages.org « </w:t>
      </w:r>
      <w:hyperlink r:id="rId17" w:history="1">
        <w:r w:rsidRPr="00857813">
          <w:rPr>
            <w:rStyle w:val="Lienhypertexte"/>
          </w:rPr>
          <w:t>Cinéma, séries, représentations… </w:t>
        </w:r>
      </w:hyperlink>
      <w:r>
        <w:t>»</w:t>
      </w:r>
      <w:r w:rsidRPr="00857813">
        <w:t>,</w:t>
      </w:r>
      <w:r>
        <w:t xml:space="preserve"> notamment la proposition portant sur la représentation du corps féminin ou « </w:t>
      </w:r>
      <w:hyperlink r:id="rId18" w:history="1">
        <w:r w:rsidRPr="000144F2">
          <w:rPr>
            <w:rStyle w:val="Lienhypertexte"/>
            <w:i/>
            <w:iCs/>
          </w:rPr>
          <w:t>male gaze </w:t>
        </w:r>
      </w:hyperlink>
      <w:r>
        <w:rPr>
          <w:i/>
          <w:iCs/>
        </w:rPr>
        <w:t xml:space="preserve">» </w:t>
      </w:r>
      <w:r>
        <w:t xml:space="preserve">et les représentations dans les publicités (des exemples sur </w:t>
      </w:r>
      <w:hyperlink r:id="rId19" w:history="1">
        <w:r w:rsidRPr="000A2CAE">
          <w:rPr>
            <w:rStyle w:val="Lienhypertexte"/>
          </w:rPr>
          <w:t>les brosses à dent</w:t>
        </w:r>
      </w:hyperlink>
      <w:r>
        <w:t xml:space="preserve">, les </w:t>
      </w:r>
      <w:hyperlink r:id="rId20" w:history="1">
        <w:r w:rsidRPr="005F0D98">
          <w:rPr>
            <w:rStyle w:val="Lienhypertexte"/>
          </w:rPr>
          <w:t>voitures</w:t>
        </w:r>
      </w:hyperlink>
      <w:r>
        <w:t xml:space="preserve">, la </w:t>
      </w:r>
      <w:hyperlink r:id="rId21" w:history="1">
        <w:r w:rsidRPr="005F0D98">
          <w:rPr>
            <w:rStyle w:val="Lienhypertexte"/>
          </w:rPr>
          <w:t>banque</w:t>
        </w:r>
      </w:hyperlink>
      <w:r>
        <w:t xml:space="preserve"> et le </w:t>
      </w:r>
      <w:hyperlink r:id="rId22" w:history="1">
        <w:r w:rsidRPr="000A2CAE">
          <w:rPr>
            <w:rStyle w:val="Lienhypertexte"/>
          </w:rPr>
          <w:t>recrutement dans l’Education nationale</w:t>
        </w:r>
      </w:hyperlink>
      <w:r>
        <w:t xml:space="preserve">) ; </w:t>
      </w:r>
    </w:p>
    <w:p w14:paraId="3361500F" w14:textId="77777777" w:rsidR="00BC3345" w:rsidRDefault="00BC3345" w:rsidP="00BC3345">
      <w:pPr>
        <w:pStyle w:val="Encadrdocument"/>
      </w:pPr>
      <w:r>
        <w:t>« </w:t>
      </w:r>
      <w:hyperlink r:id="rId23" w:history="1">
        <w:r w:rsidRPr="000144F2">
          <w:rPr>
            <w:rStyle w:val="Lienhypertexte"/>
          </w:rPr>
          <w:t>Comment l’éducation des filles a enfermé les femmes ? </w:t>
        </w:r>
      </w:hyperlink>
      <w:r>
        <w:t xml:space="preserve">», </w:t>
      </w:r>
      <w:proofErr w:type="spellStart"/>
      <w:r>
        <w:rPr>
          <w:i/>
          <w:iCs/>
        </w:rPr>
        <w:t>Lumni</w:t>
      </w:r>
      <w:proofErr w:type="spellEnd"/>
      <w:r>
        <w:rPr>
          <w:i/>
          <w:iCs/>
        </w:rPr>
        <w:t xml:space="preserve"> enseignement</w:t>
      </w:r>
      <w:r>
        <w:t>, 24 février 2023.</w:t>
      </w:r>
    </w:p>
    <w:p w14:paraId="371C538E" w14:textId="734BC237" w:rsidR="00BC3345" w:rsidRDefault="00BC3345" w:rsidP="00BC3345">
      <w:pPr>
        <w:pStyle w:val="Titre3"/>
      </w:pPr>
      <w:r w:rsidRPr="00FC0FAF">
        <w:t>Séance 2</w:t>
      </w:r>
      <w:r>
        <w:t xml:space="preserve"> : </w:t>
      </w:r>
      <w:r w:rsidR="00582F73">
        <w:t>l</w:t>
      </w:r>
      <w:r>
        <w:t>a progressive conquête de droits et d’égalité pour les femmes au cours de l’histoire</w:t>
      </w:r>
    </w:p>
    <w:p w14:paraId="762B389C" w14:textId="77777777" w:rsidR="00582F73" w:rsidRDefault="00BC3345" w:rsidP="00BC3345">
      <w:pPr>
        <w:pStyle w:val="Encadrdocument"/>
      </w:pPr>
      <w:r w:rsidRPr="00E66C96">
        <w:rPr>
          <w:b/>
          <w:bCs w:val="0"/>
        </w:rPr>
        <w:t>Document 1</w:t>
      </w:r>
      <w:r w:rsidRPr="00E66C96">
        <w:t> :</w:t>
      </w:r>
      <w:r>
        <w:t xml:space="preserve">  Pour étudier différentes lois inégalitaires entre les femmes et les hommes dans l’histoire de la législation française, les élèves travaillent sur un tableau construit à partir des sources suivantes : </w:t>
      </w:r>
    </w:p>
    <w:p w14:paraId="4267EC37" w14:textId="5442CE43" w:rsidR="00BC3345" w:rsidRDefault="00582F73" w:rsidP="00BC3345">
      <w:pPr>
        <w:pStyle w:val="Encadrdocument"/>
      </w:pPr>
      <w:r w:rsidRPr="00582F73">
        <w:t>-</w:t>
      </w:r>
      <w:r>
        <w:t xml:space="preserve"> </w:t>
      </w:r>
      <w:hyperlink r:id="rId24" w:history="1">
        <w:r w:rsidRPr="00582F73">
          <w:rPr>
            <w:rStyle w:val="Lienhypertexte"/>
          </w:rPr>
          <w:t>prefectures-regions.gouv.fr</w:t>
        </w:r>
      </w:hyperlink>
      <w:r>
        <w:t xml:space="preserve"> </w:t>
      </w:r>
    </w:p>
    <w:p w14:paraId="27DDD851" w14:textId="51FE3494" w:rsidR="00BC3345" w:rsidRDefault="00BC3345" w:rsidP="00BC3345">
      <w:pPr>
        <w:pStyle w:val="Encadrdocument"/>
      </w:pPr>
      <w:r>
        <w:t xml:space="preserve">-  </w:t>
      </w:r>
      <w:hyperlink r:id="rId25" w:history="1">
        <w:r w:rsidR="00582F73" w:rsidRPr="00582F73">
          <w:rPr>
            <w:rStyle w:val="Lienhypertexte"/>
          </w:rPr>
          <w:t>vie-publique.fr</w:t>
        </w:r>
      </w:hyperlink>
      <w:r w:rsidR="00582F73">
        <w:t xml:space="preserve"> </w:t>
      </w:r>
    </w:p>
    <w:p w14:paraId="1EF73ADF" w14:textId="622228B7" w:rsidR="00BC3345" w:rsidRDefault="00BC3345" w:rsidP="00BC3345">
      <w:pPr>
        <w:pStyle w:val="Encadrdocument"/>
      </w:pPr>
      <w:r>
        <w:t xml:space="preserve">Le tableau </w:t>
      </w:r>
      <w:r w:rsidR="00D07582">
        <w:t>ci-dessous</w:t>
      </w:r>
      <w:r>
        <w:t xml:space="preserve"> donne un exemple de repères qui peuvent être signalés. Le professeur peut alléger ou ajouter d’autres dates le tableau.</w:t>
      </w:r>
    </w:p>
    <w:tbl>
      <w:tblPr>
        <w:tblStyle w:val="Grilledutableau"/>
        <w:tblW w:w="5000" w:type="pct"/>
        <w:tblBorders>
          <w:top w:val="single" w:sz="4" w:space="0" w:color="2E2090"/>
          <w:left w:val="single" w:sz="4" w:space="0" w:color="2E2090"/>
          <w:bottom w:val="single" w:sz="4" w:space="0" w:color="2E2090"/>
          <w:right w:val="single" w:sz="4" w:space="0" w:color="2E2090"/>
          <w:insideH w:val="single" w:sz="4" w:space="0" w:color="2E2090"/>
          <w:insideV w:val="single" w:sz="4" w:space="0" w:color="2E2090"/>
        </w:tblBorders>
        <w:tblLayout w:type="fixed"/>
        <w:tblLook w:val="04A0" w:firstRow="1" w:lastRow="0" w:firstColumn="1" w:lastColumn="0" w:noHBand="0" w:noVBand="1"/>
      </w:tblPr>
      <w:tblGrid>
        <w:gridCol w:w="2104"/>
        <w:gridCol w:w="7524"/>
      </w:tblGrid>
      <w:tr w:rsidR="00582F73" w:rsidRPr="00582F73" w14:paraId="4935FC30" w14:textId="77777777" w:rsidTr="00582F73">
        <w:tc>
          <w:tcPr>
            <w:tcW w:w="1980" w:type="dxa"/>
            <w:shd w:val="clear" w:color="auto" w:fill="E0DDEE"/>
          </w:tcPr>
          <w:p w14:paraId="3B842D5C" w14:textId="77777777" w:rsidR="00BC3345" w:rsidRPr="00582F73" w:rsidRDefault="00BC3345" w:rsidP="00582F73">
            <w:pPr>
              <w:pStyle w:val="Titretableau"/>
              <w:spacing w:before="60" w:after="60"/>
              <w:rPr>
                <w:bCs/>
                <w:color w:val="auto"/>
              </w:rPr>
            </w:pPr>
            <w:r w:rsidRPr="00582F73">
              <w:rPr>
                <w:color w:val="auto"/>
              </w:rPr>
              <w:t>DATES</w:t>
            </w:r>
          </w:p>
        </w:tc>
        <w:tc>
          <w:tcPr>
            <w:tcW w:w="7082" w:type="dxa"/>
            <w:shd w:val="clear" w:color="auto" w:fill="E0DDEE"/>
          </w:tcPr>
          <w:p w14:paraId="58CCF092" w14:textId="77777777" w:rsidR="00BC3345" w:rsidRPr="00582F73" w:rsidRDefault="00BC3345" w:rsidP="00582F73">
            <w:pPr>
              <w:pStyle w:val="Titretableau"/>
              <w:spacing w:before="60" w:after="60"/>
              <w:rPr>
                <w:bCs/>
                <w:color w:val="auto"/>
              </w:rPr>
            </w:pPr>
            <w:r w:rsidRPr="00582F73">
              <w:rPr>
                <w:color w:val="auto"/>
              </w:rPr>
              <w:t>LOIS</w:t>
            </w:r>
          </w:p>
        </w:tc>
      </w:tr>
      <w:tr w:rsidR="00BC3345" w:rsidRPr="00E66B6A" w14:paraId="0109F8D6" w14:textId="77777777" w:rsidTr="00582F73">
        <w:tc>
          <w:tcPr>
            <w:tcW w:w="1980" w:type="dxa"/>
          </w:tcPr>
          <w:p w14:paraId="37188D89" w14:textId="77777777" w:rsidR="00BC3345" w:rsidRPr="00E66B6A" w:rsidRDefault="00BC3345" w:rsidP="00582F73">
            <w:pPr>
              <w:pStyle w:val="Contenudetableau"/>
              <w:spacing w:before="60" w:after="60"/>
              <w:rPr>
                <w:bCs/>
              </w:rPr>
            </w:pPr>
            <w:r w:rsidRPr="00E66B6A">
              <w:t>1800</w:t>
            </w:r>
          </w:p>
        </w:tc>
        <w:tc>
          <w:tcPr>
            <w:tcW w:w="7082" w:type="dxa"/>
          </w:tcPr>
          <w:p w14:paraId="43FAA147" w14:textId="77777777" w:rsidR="00BC3345" w:rsidRPr="00E66B6A" w:rsidRDefault="00BC3345" w:rsidP="00582F73">
            <w:pPr>
              <w:pStyle w:val="Contenudetableau"/>
              <w:spacing w:before="60" w:after="60"/>
              <w:rPr>
                <w:bCs/>
              </w:rPr>
            </w:pPr>
            <w:r w:rsidRPr="00E66B6A">
              <w:t>Interdiction du port du pantalon dans l’espace public</w:t>
            </w:r>
          </w:p>
        </w:tc>
      </w:tr>
      <w:tr w:rsidR="00BC3345" w:rsidRPr="00E66B6A" w14:paraId="1ECFCC48" w14:textId="77777777" w:rsidTr="00582F73">
        <w:tc>
          <w:tcPr>
            <w:tcW w:w="1980" w:type="dxa"/>
          </w:tcPr>
          <w:p w14:paraId="769BEDA0" w14:textId="77777777" w:rsidR="00BC3345" w:rsidRPr="00E66B6A" w:rsidRDefault="00BC3345" w:rsidP="00582F73">
            <w:pPr>
              <w:pStyle w:val="Contenudetableau"/>
              <w:spacing w:before="60" w:after="60"/>
              <w:rPr>
                <w:bCs/>
              </w:rPr>
            </w:pPr>
            <w:r w:rsidRPr="00E66B6A">
              <w:t>1804</w:t>
            </w:r>
          </w:p>
        </w:tc>
        <w:tc>
          <w:tcPr>
            <w:tcW w:w="7082" w:type="dxa"/>
          </w:tcPr>
          <w:p w14:paraId="56F802B1" w14:textId="77777777" w:rsidR="00BC3345" w:rsidRPr="00E66B6A" w:rsidRDefault="00BC3345" w:rsidP="00582F73">
            <w:pPr>
              <w:pStyle w:val="Contenudetableau"/>
              <w:spacing w:before="60" w:after="60"/>
              <w:rPr>
                <w:bCs/>
              </w:rPr>
            </w:pPr>
            <w:r w:rsidRPr="00E66B6A">
              <w:t>Code civil :</w:t>
            </w:r>
          </w:p>
          <w:p w14:paraId="038C3784" w14:textId="77777777" w:rsidR="00BC3345" w:rsidRPr="00E66B6A" w:rsidRDefault="00BC3345" w:rsidP="00582F73">
            <w:pPr>
              <w:pStyle w:val="Contenudetableau"/>
              <w:spacing w:before="60" w:after="60"/>
              <w:rPr>
                <w:bCs/>
              </w:rPr>
            </w:pPr>
            <w:r w:rsidRPr="00E66B6A">
              <w:t>- âge requis pour se marier : 15 ans pour les femmes, 18ans pour les hommes (jusque 2006)</w:t>
            </w:r>
          </w:p>
          <w:p w14:paraId="353A760E" w14:textId="77777777" w:rsidR="00BC3345" w:rsidRPr="00E66B6A" w:rsidRDefault="00BC3345" w:rsidP="00582F73">
            <w:pPr>
              <w:pStyle w:val="Contenudetableau"/>
              <w:spacing w:before="60" w:after="60"/>
              <w:rPr>
                <w:bCs/>
              </w:rPr>
            </w:pPr>
            <w:r w:rsidRPr="00E66B6A">
              <w:t>- les femmes sont considérées comme mineures</w:t>
            </w:r>
          </w:p>
        </w:tc>
      </w:tr>
      <w:tr w:rsidR="00BC3345" w:rsidRPr="00E66B6A" w14:paraId="16391250" w14:textId="77777777" w:rsidTr="00582F73">
        <w:tc>
          <w:tcPr>
            <w:tcW w:w="1980" w:type="dxa"/>
          </w:tcPr>
          <w:p w14:paraId="24DCADCA" w14:textId="77777777" w:rsidR="00BC3345" w:rsidRPr="00E66B6A" w:rsidRDefault="00BC3345" w:rsidP="00582F73">
            <w:pPr>
              <w:pStyle w:val="Contenudetableau"/>
              <w:spacing w:before="60" w:after="60"/>
              <w:rPr>
                <w:bCs/>
              </w:rPr>
            </w:pPr>
            <w:r w:rsidRPr="00E66B6A">
              <w:t>1874</w:t>
            </w:r>
          </w:p>
        </w:tc>
        <w:tc>
          <w:tcPr>
            <w:tcW w:w="7082" w:type="dxa"/>
          </w:tcPr>
          <w:p w14:paraId="4103EABC" w14:textId="77777777" w:rsidR="00BC3345" w:rsidRPr="00E66B6A" w:rsidRDefault="00BC3345" w:rsidP="00582F73">
            <w:pPr>
              <w:pStyle w:val="Contenudetableau"/>
              <w:spacing w:before="60" w:after="60"/>
              <w:rPr>
                <w:bCs/>
              </w:rPr>
            </w:pPr>
            <w:r w:rsidRPr="00E66B6A">
              <w:t>Interdiction du travail souterrain pour les femmes</w:t>
            </w:r>
          </w:p>
          <w:p w14:paraId="4E510BA8" w14:textId="77777777" w:rsidR="00BC3345" w:rsidRPr="00E66B6A" w:rsidRDefault="00BC3345" w:rsidP="00582F73">
            <w:pPr>
              <w:pStyle w:val="Contenudetableau"/>
              <w:spacing w:before="60" w:after="60"/>
              <w:rPr>
                <w:bCs/>
              </w:rPr>
            </w:pPr>
            <w:r w:rsidRPr="00E66B6A">
              <w:t>Interdiction du travail des femmes dans les établissements insalubres ou dangereux</w:t>
            </w:r>
          </w:p>
        </w:tc>
      </w:tr>
      <w:tr w:rsidR="00BC3345" w:rsidRPr="00E66B6A" w14:paraId="4029929D" w14:textId="77777777" w:rsidTr="00582F73">
        <w:tc>
          <w:tcPr>
            <w:tcW w:w="1980" w:type="dxa"/>
          </w:tcPr>
          <w:p w14:paraId="26803838" w14:textId="77777777" w:rsidR="00BC3345" w:rsidRPr="00E66B6A" w:rsidRDefault="00BC3345" w:rsidP="00582F73">
            <w:pPr>
              <w:pStyle w:val="Contenudetableau"/>
              <w:spacing w:before="60" w:after="60"/>
              <w:rPr>
                <w:bCs/>
              </w:rPr>
            </w:pPr>
            <w:r w:rsidRPr="00E66B6A">
              <w:t>1892</w:t>
            </w:r>
          </w:p>
        </w:tc>
        <w:tc>
          <w:tcPr>
            <w:tcW w:w="7082" w:type="dxa"/>
          </w:tcPr>
          <w:p w14:paraId="1FF975D1" w14:textId="77777777" w:rsidR="00BC3345" w:rsidRPr="00E66B6A" w:rsidRDefault="00BC3345" w:rsidP="00582F73">
            <w:pPr>
              <w:pStyle w:val="Contenudetableau"/>
              <w:spacing w:before="60" w:after="60"/>
              <w:rPr>
                <w:bCs/>
              </w:rPr>
            </w:pPr>
            <w:r w:rsidRPr="00E66B6A">
              <w:t>Interdiction du travail la nuit pour les femmes</w:t>
            </w:r>
          </w:p>
        </w:tc>
      </w:tr>
      <w:tr w:rsidR="00BC3345" w:rsidRPr="00E66B6A" w14:paraId="3C7964AA" w14:textId="77777777" w:rsidTr="00582F73">
        <w:tc>
          <w:tcPr>
            <w:tcW w:w="1980" w:type="dxa"/>
          </w:tcPr>
          <w:p w14:paraId="15EA7A03" w14:textId="77777777" w:rsidR="00BC3345" w:rsidRPr="00E66B6A" w:rsidRDefault="00BC3345" w:rsidP="00582F73">
            <w:pPr>
              <w:pStyle w:val="Contenudetableau"/>
              <w:spacing w:before="60" w:after="60"/>
              <w:rPr>
                <w:bCs/>
              </w:rPr>
            </w:pPr>
            <w:r w:rsidRPr="00E66B6A">
              <w:t>1938</w:t>
            </w:r>
          </w:p>
        </w:tc>
        <w:tc>
          <w:tcPr>
            <w:tcW w:w="7082" w:type="dxa"/>
          </w:tcPr>
          <w:p w14:paraId="5F578AEC" w14:textId="77777777" w:rsidR="00BC3345" w:rsidRPr="00E66B6A" w:rsidRDefault="00BC3345" w:rsidP="00582F73">
            <w:pPr>
              <w:pStyle w:val="Contenudetableau"/>
              <w:spacing w:before="60" w:after="60"/>
              <w:rPr>
                <w:bCs/>
              </w:rPr>
            </w:pPr>
            <w:r w:rsidRPr="00E66B6A">
              <w:t>Institution d’une prime pour la femme au foyer</w:t>
            </w:r>
          </w:p>
        </w:tc>
      </w:tr>
      <w:tr w:rsidR="00BC3345" w:rsidRPr="00E66B6A" w14:paraId="72CE317A" w14:textId="77777777" w:rsidTr="00582F73">
        <w:tc>
          <w:tcPr>
            <w:tcW w:w="1980" w:type="dxa"/>
          </w:tcPr>
          <w:p w14:paraId="18179AF0" w14:textId="77777777" w:rsidR="00BC3345" w:rsidRPr="00E66B6A" w:rsidRDefault="00BC3345" w:rsidP="00582F73">
            <w:pPr>
              <w:pStyle w:val="Contenudetableau"/>
              <w:spacing w:before="60" w:after="60"/>
              <w:rPr>
                <w:bCs/>
              </w:rPr>
            </w:pPr>
            <w:r w:rsidRPr="00E66B6A">
              <w:t>29 avril 1945</w:t>
            </w:r>
          </w:p>
        </w:tc>
        <w:tc>
          <w:tcPr>
            <w:tcW w:w="7082" w:type="dxa"/>
          </w:tcPr>
          <w:p w14:paraId="5C9FA01C" w14:textId="77777777" w:rsidR="00BC3345" w:rsidRPr="00E66B6A" w:rsidRDefault="00BC3345" w:rsidP="00582F73">
            <w:pPr>
              <w:pStyle w:val="Contenudetableau"/>
              <w:spacing w:before="60" w:after="60"/>
              <w:rPr>
                <w:bCs/>
              </w:rPr>
            </w:pPr>
            <w:r w:rsidRPr="00E66B6A">
              <w:t>Les femmes votent pour la première fois</w:t>
            </w:r>
          </w:p>
        </w:tc>
      </w:tr>
      <w:tr w:rsidR="00BC3345" w:rsidRPr="00E66B6A" w14:paraId="01D52E69" w14:textId="77777777" w:rsidTr="00582F73">
        <w:tc>
          <w:tcPr>
            <w:tcW w:w="1980" w:type="dxa"/>
          </w:tcPr>
          <w:p w14:paraId="6B4D1752" w14:textId="77777777" w:rsidR="00BC3345" w:rsidRPr="00E66B6A" w:rsidRDefault="00BC3345" w:rsidP="00582F73">
            <w:pPr>
              <w:pStyle w:val="Contenudetableau"/>
              <w:spacing w:before="60" w:after="60"/>
              <w:rPr>
                <w:bCs/>
              </w:rPr>
            </w:pPr>
            <w:r w:rsidRPr="00E66B6A">
              <w:t>1946</w:t>
            </w:r>
          </w:p>
        </w:tc>
        <w:tc>
          <w:tcPr>
            <w:tcW w:w="7082" w:type="dxa"/>
          </w:tcPr>
          <w:p w14:paraId="07848454" w14:textId="77777777" w:rsidR="00BC3345" w:rsidRPr="00E66B6A" w:rsidRDefault="00BC3345" w:rsidP="00582F73">
            <w:pPr>
              <w:pStyle w:val="Contenudetableau"/>
              <w:spacing w:before="60" w:after="60"/>
              <w:rPr>
                <w:bCs/>
              </w:rPr>
            </w:pPr>
            <w:r w:rsidRPr="00E66B6A">
              <w:t>L’égalité entre les femmes et les hommes est inscrite dans la Constitution</w:t>
            </w:r>
          </w:p>
        </w:tc>
      </w:tr>
      <w:tr w:rsidR="00BC3345" w:rsidRPr="00E66B6A" w14:paraId="4A1ECE63" w14:textId="77777777" w:rsidTr="00582F73">
        <w:tc>
          <w:tcPr>
            <w:tcW w:w="1980" w:type="dxa"/>
          </w:tcPr>
          <w:p w14:paraId="6A6225D8" w14:textId="77777777" w:rsidR="00BC3345" w:rsidRPr="00E66B6A" w:rsidRDefault="00BC3345" w:rsidP="00582F73">
            <w:pPr>
              <w:pStyle w:val="Contenudetableau"/>
              <w:spacing w:before="60" w:after="60"/>
              <w:rPr>
                <w:bCs/>
              </w:rPr>
            </w:pPr>
            <w:r w:rsidRPr="00E66B6A">
              <w:t>1949</w:t>
            </w:r>
          </w:p>
        </w:tc>
        <w:tc>
          <w:tcPr>
            <w:tcW w:w="7082" w:type="dxa"/>
          </w:tcPr>
          <w:p w14:paraId="5252B60C" w14:textId="77777777" w:rsidR="00BC3345" w:rsidRPr="00E66B6A" w:rsidRDefault="00BC3345" w:rsidP="00582F73">
            <w:pPr>
              <w:pStyle w:val="Contenudetableau"/>
              <w:spacing w:before="60" w:after="60"/>
              <w:rPr>
                <w:bCs/>
              </w:rPr>
            </w:pPr>
            <w:r w:rsidRPr="00E66B6A">
              <w:t xml:space="preserve">Publication de l’essai de Simon de Beauvoir, </w:t>
            </w:r>
            <w:r w:rsidRPr="00E66B6A">
              <w:rPr>
                <w:i/>
                <w:iCs/>
              </w:rPr>
              <w:t>Le Deuxième sexe </w:t>
            </w:r>
            <w:r w:rsidRPr="00E66B6A">
              <w:t>: « On ne naît pas femme : on le devient »</w:t>
            </w:r>
          </w:p>
        </w:tc>
      </w:tr>
      <w:tr w:rsidR="00BC3345" w:rsidRPr="00E66B6A" w14:paraId="2CA2842D" w14:textId="77777777" w:rsidTr="00582F73">
        <w:tc>
          <w:tcPr>
            <w:tcW w:w="1980" w:type="dxa"/>
          </w:tcPr>
          <w:p w14:paraId="1AE0989D" w14:textId="77777777" w:rsidR="00BC3345" w:rsidRPr="00E66B6A" w:rsidRDefault="00BC3345" w:rsidP="00582F73">
            <w:pPr>
              <w:pStyle w:val="Contenudetableau"/>
              <w:spacing w:before="60" w:after="60"/>
              <w:rPr>
                <w:bCs/>
              </w:rPr>
            </w:pPr>
            <w:r w:rsidRPr="00E66B6A">
              <w:t>1965</w:t>
            </w:r>
          </w:p>
        </w:tc>
        <w:tc>
          <w:tcPr>
            <w:tcW w:w="7082" w:type="dxa"/>
          </w:tcPr>
          <w:p w14:paraId="354B810C" w14:textId="77777777" w:rsidR="00BC3345" w:rsidRPr="00E66B6A" w:rsidRDefault="00BC3345" w:rsidP="00582F73">
            <w:pPr>
              <w:pStyle w:val="Contenudetableau"/>
              <w:spacing w:before="60" w:after="60"/>
              <w:rPr>
                <w:bCs/>
              </w:rPr>
            </w:pPr>
            <w:r w:rsidRPr="00E66B6A">
              <w:t>Réforme des régimes matrimoniaux : les femmes peuvent gérer leurs biens et exercer une activité professionnelle sans le consentement de leur mari.</w:t>
            </w:r>
          </w:p>
        </w:tc>
      </w:tr>
      <w:tr w:rsidR="00BC3345" w:rsidRPr="00E66B6A" w14:paraId="5DC2B661" w14:textId="77777777" w:rsidTr="00582F73">
        <w:tc>
          <w:tcPr>
            <w:tcW w:w="1980" w:type="dxa"/>
          </w:tcPr>
          <w:p w14:paraId="71B56B84" w14:textId="77777777" w:rsidR="00BC3345" w:rsidRPr="00E66B6A" w:rsidRDefault="00BC3345" w:rsidP="00582F73">
            <w:pPr>
              <w:pStyle w:val="Contenudetableau"/>
              <w:spacing w:before="60" w:after="60"/>
              <w:rPr>
                <w:bCs/>
              </w:rPr>
            </w:pPr>
            <w:r w:rsidRPr="00E66B6A">
              <w:t>26 août 1970</w:t>
            </w:r>
          </w:p>
        </w:tc>
        <w:tc>
          <w:tcPr>
            <w:tcW w:w="7082" w:type="dxa"/>
          </w:tcPr>
          <w:p w14:paraId="57EA977F" w14:textId="77777777" w:rsidR="00BC3345" w:rsidRPr="00E66B6A" w:rsidRDefault="00BC3345" w:rsidP="00582F73">
            <w:pPr>
              <w:pStyle w:val="Contenudetableau"/>
              <w:spacing w:before="60" w:after="60"/>
              <w:rPr>
                <w:bCs/>
              </w:rPr>
            </w:pPr>
            <w:r w:rsidRPr="00E66B6A">
              <w:t>Naissance du Mouvement de libération des femmes (MLF)</w:t>
            </w:r>
          </w:p>
        </w:tc>
      </w:tr>
      <w:tr w:rsidR="00BC3345" w:rsidRPr="00E66B6A" w14:paraId="2670AAA4" w14:textId="77777777" w:rsidTr="00582F73">
        <w:tc>
          <w:tcPr>
            <w:tcW w:w="1980" w:type="dxa"/>
          </w:tcPr>
          <w:p w14:paraId="11DB9FE0" w14:textId="77777777" w:rsidR="00BC3345" w:rsidRPr="00E66B6A" w:rsidRDefault="00BC3345" w:rsidP="00582F73">
            <w:pPr>
              <w:pStyle w:val="Contenudetableau"/>
              <w:spacing w:before="60" w:after="60"/>
              <w:rPr>
                <w:bCs/>
              </w:rPr>
            </w:pPr>
            <w:r w:rsidRPr="00E66B6A">
              <w:t>17 janvier 1975</w:t>
            </w:r>
          </w:p>
        </w:tc>
        <w:tc>
          <w:tcPr>
            <w:tcW w:w="7082" w:type="dxa"/>
          </w:tcPr>
          <w:p w14:paraId="319118C9" w14:textId="77777777" w:rsidR="00BC3345" w:rsidRPr="00E66B6A" w:rsidRDefault="00BC3345" w:rsidP="00582F73">
            <w:pPr>
              <w:pStyle w:val="Contenudetableau"/>
              <w:spacing w:before="60" w:after="60"/>
              <w:rPr>
                <w:bCs/>
              </w:rPr>
            </w:pPr>
            <w:r w:rsidRPr="00E66B6A">
              <w:t xml:space="preserve">Loi autorisant l’interruption volontaire de grossesse, dite « loi Veil » (voir en </w:t>
            </w:r>
            <w:r w:rsidRPr="00E66B6A">
              <w:lastRenderedPageBreak/>
              <w:t xml:space="preserve">prolongement possible les </w:t>
            </w:r>
            <w:hyperlink r:id="rId26" w:history="1">
              <w:r w:rsidRPr="00E66B6A">
                <w:rPr>
                  <w:rStyle w:val="Lienhypertexte"/>
                </w:rPr>
                <w:t>épisode 1</w:t>
              </w:r>
            </w:hyperlink>
            <w:r w:rsidRPr="00E66B6A">
              <w:t xml:space="preserve"> et </w:t>
            </w:r>
            <w:hyperlink r:id="rId27" w:history="1">
              <w:r w:rsidRPr="00E66B6A">
                <w:rPr>
                  <w:rStyle w:val="Lienhypertexte"/>
                </w:rPr>
                <w:t>épisode 2</w:t>
              </w:r>
            </w:hyperlink>
            <w:r w:rsidRPr="00E66B6A">
              <w:t xml:space="preserve"> des bandes dessines sur Simone Veil : la loi sur l’avortement sur le site Vie-publique.fr). </w:t>
            </w:r>
          </w:p>
        </w:tc>
      </w:tr>
      <w:tr w:rsidR="00BC3345" w:rsidRPr="00E66B6A" w14:paraId="24228F12" w14:textId="77777777" w:rsidTr="00582F73">
        <w:tc>
          <w:tcPr>
            <w:tcW w:w="1980" w:type="dxa"/>
          </w:tcPr>
          <w:p w14:paraId="4B4F2454" w14:textId="77777777" w:rsidR="00BC3345" w:rsidRPr="00E66B6A" w:rsidRDefault="00BC3345" w:rsidP="00582F73">
            <w:pPr>
              <w:pStyle w:val="Contenudetableau"/>
              <w:spacing w:before="60" w:after="60"/>
              <w:rPr>
                <w:bCs/>
              </w:rPr>
            </w:pPr>
            <w:r w:rsidRPr="00E66B6A">
              <w:lastRenderedPageBreak/>
              <w:t>1983</w:t>
            </w:r>
          </w:p>
        </w:tc>
        <w:tc>
          <w:tcPr>
            <w:tcW w:w="7082" w:type="dxa"/>
          </w:tcPr>
          <w:p w14:paraId="363180AF" w14:textId="77777777" w:rsidR="00BC3345" w:rsidRPr="00E66B6A" w:rsidRDefault="00BC3345" w:rsidP="00582F73">
            <w:pPr>
              <w:pStyle w:val="Contenudetableau"/>
              <w:spacing w:before="60" w:after="60"/>
              <w:rPr>
                <w:bCs/>
              </w:rPr>
            </w:pPr>
            <w:r w:rsidRPr="00E66B6A">
              <w:t>Loi « </w:t>
            </w:r>
            <w:proofErr w:type="spellStart"/>
            <w:r w:rsidRPr="00E66B6A">
              <w:t>Roudy</w:t>
            </w:r>
            <w:proofErr w:type="spellEnd"/>
            <w:r w:rsidRPr="00E66B6A">
              <w:t> » sur l’égalité professionnelle entre les femmes et les hommes</w:t>
            </w:r>
          </w:p>
        </w:tc>
      </w:tr>
      <w:tr w:rsidR="00BC3345" w:rsidRPr="00E66B6A" w14:paraId="4718C0E9" w14:textId="77777777" w:rsidTr="00582F73">
        <w:tc>
          <w:tcPr>
            <w:tcW w:w="1980" w:type="dxa"/>
          </w:tcPr>
          <w:p w14:paraId="5CD762AE" w14:textId="77777777" w:rsidR="00BC3345" w:rsidRPr="00E66B6A" w:rsidRDefault="00BC3345" w:rsidP="00582F73">
            <w:pPr>
              <w:pStyle w:val="Contenudetableau"/>
              <w:spacing w:before="60" w:after="60"/>
              <w:rPr>
                <w:bCs/>
              </w:rPr>
            </w:pPr>
            <w:r w:rsidRPr="00E66B6A">
              <w:t>1997</w:t>
            </w:r>
          </w:p>
        </w:tc>
        <w:tc>
          <w:tcPr>
            <w:tcW w:w="7082" w:type="dxa"/>
          </w:tcPr>
          <w:p w14:paraId="4DF18F71" w14:textId="77777777" w:rsidR="00BC3345" w:rsidRPr="00E66B6A" w:rsidRDefault="00BC3345" w:rsidP="00582F73">
            <w:pPr>
              <w:pStyle w:val="Contenudetableau"/>
              <w:spacing w:before="60" w:after="60"/>
              <w:rPr>
                <w:bCs/>
              </w:rPr>
            </w:pPr>
            <w:r w:rsidRPr="00E66B6A">
              <w:t xml:space="preserve">Publication du rapport de Gisèle Halimi remis au Premier ministre sur </w:t>
            </w:r>
            <w:hyperlink r:id="rId28" w:history="1">
              <w:r w:rsidRPr="00E66B6A">
                <w:rPr>
                  <w:rStyle w:val="Lienhypertexte"/>
                </w:rPr>
                <w:t>la parité dans la vie politique</w:t>
              </w:r>
            </w:hyperlink>
            <w:r w:rsidRPr="00E66B6A">
              <w:t xml:space="preserve">. Avocate, entrée au panthéon, Gisèle Halimi fut notamment particulièrement connue pour sa défense dans </w:t>
            </w:r>
            <w:hyperlink r:id="rId29" w:history="1">
              <w:r w:rsidRPr="00E66B6A">
                <w:rPr>
                  <w:rStyle w:val="Lienhypertexte"/>
                </w:rPr>
                <w:t>le procès de Bobigny</w:t>
              </w:r>
            </w:hyperlink>
            <w:r w:rsidRPr="00E66B6A">
              <w:t xml:space="preserve">. </w:t>
            </w:r>
          </w:p>
        </w:tc>
      </w:tr>
      <w:tr w:rsidR="00BC3345" w:rsidRPr="00E66B6A" w14:paraId="765804A3" w14:textId="77777777" w:rsidTr="00582F73">
        <w:tc>
          <w:tcPr>
            <w:tcW w:w="1980" w:type="dxa"/>
          </w:tcPr>
          <w:p w14:paraId="1BAD82D6" w14:textId="77777777" w:rsidR="00BC3345" w:rsidRPr="00E66B6A" w:rsidRDefault="00BC3345" w:rsidP="00582F73">
            <w:pPr>
              <w:pStyle w:val="Contenudetableau"/>
              <w:spacing w:before="60" w:after="60"/>
              <w:rPr>
                <w:bCs/>
              </w:rPr>
            </w:pPr>
            <w:r w:rsidRPr="00E66B6A">
              <w:t>8 mars 1998</w:t>
            </w:r>
          </w:p>
        </w:tc>
        <w:tc>
          <w:tcPr>
            <w:tcW w:w="7082" w:type="dxa"/>
          </w:tcPr>
          <w:p w14:paraId="6A811D90" w14:textId="77777777" w:rsidR="00BC3345" w:rsidRPr="00E66B6A" w:rsidRDefault="00BC3345" w:rsidP="00582F73">
            <w:pPr>
              <w:pStyle w:val="Contenudetableau"/>
              <w:spacing w:before="60" w:after="60"/>
              <w:rPr>
                <w:bCs/>
              </w:rPr>
            </w:pPr>
            <w:r w:rsidRPr="00E66B6A">
              <w:t xml:space="preserve">Circulaire relative à la féminisation des noms de métier, de fonction, grade ou titre. </w:t>
            </w:r>
          </w:p>
        </w:tc>
      </w:tr>
      <w:tr w:rsidR="00BC3345" w:rsidRPr="00E66B6A" w14:paraId="39CEAB9A" w14:textId="77777777" w:rsidTr="00582F73">
        <w:tc>
          <w:tcPr>
            <w:tcW w:w="1980" w:type="dxa"/>
          </w:tcPr>
          <w:p w14:paraId="29B6CD90" w14:textId="77777777" w:rsidR="00BC3345" w:rsidRPr="00E66B6A" w:rsidRDefault="00BC3345" w:rsidP="00582F73">
            <w:pPr>
              <w:pStyle w:val="Contenudetableau"/>
              <w:spacing w:before="60" w:after="60"/>
              <w:rPr>
                <w:bCs/>
              </w:rPr>
            </w:pPr>
            <w:r w:rsidRPr="00E66B6A">
              <w:t>6 juin 2000</w:t>
            </w:r>
          </w:p>
        </w:tc>
        <w:tc>
          <w:tcPr>
            <w:tcW w:w="7082" w:type="dxa"/>
          </w:tcPr>
          <w:p w14:paraId="64F8D9F6" w14:textId="77777777" w:rsidR="00BC3345" w:rsidRPr="00E66B6A" w:rsidRDefault="00BC3345" w:rsidP="00582F73">
            <w:pPr>
              <w:pStyle w:val="Contenudetableau"/>
              <w:spacing w:before="60" w:after="60"/>
              <w:rPr>
                <w:bCs/>
              </w:rPr>
            </w:pPr>
            <w:r w:rsidRPr="00E66B6A">
              <w:t xml:space="preserve">Loi tendant à favoriser </w:t>
            </w:r>
            <w:hyperlink r:id="rId30" w:history="1">
              <w:r w:rsidRPr="00E66B6A">
                <w:rPr>
                  <w:rStyle w:val="Lienhypertexte"/>
                </w:rPr>
                <w:t>l’égal accès des femmes et des hommes aux mandats électoraux et fonctions électives</w:t>
              </w:r>
            </w:hyperlink>
            <w:r w:rsidRPr="00E66B6A">
              <w:t>.</w:t>
            </w:r>
          </w:p>
        </w:tc>
      </w:tr>
    </w:tbl>
    <w:p w14:paraId="6C776E88" w14:textId="058E8C34" w:rsidR="00BC3345" w:rsidRDefault="00BC3345" w:rsidP="00BC3345">
      <w:pPr>
        <w:pStyle w:val="Titre3"/>
      </w:pPr>
      <w:r>
        <w:t xml:space="preserve">Séance 3 : </w:t>
      </w:r>
      <w:r w:rsidR="00582F73">
        <w:t>c</w:t>
      </w:r>
      <w:r>
        <w:t>onquérir de nouveaux droits</w:t>
      </w:r>
    </w:p>
    <w:p w14:paraId="04178033" w14:textId="77777777" w:rsidR="00BC3345" w:rsidRDefault="00BC3345" w:rsidP="00582F73">
      <w:pPr>
        <w:pStyle w:val="Titre4"/>
      </w:pPr>
      <w:r>
        <w:t>La question des violences sexistes et sexuelles</w:t>
      </w:r>
    </w:p>
    <w:p w14:paraId="149DE57E" w14:textId="77777777" w:rsidR="00BC3345" w:rsidRDefault="00BC3345" w:rsidP="00BC3345">
      <w:pPr>
        <w:pStyle w:val="Encadrdocumenttitre"/>
      </w:pPr>
      <w:r w:rsidRPr="00124D82">
        <w:t>Corpus documentaire</w:t>
      </w:r>
    </w:p>
    <w:p w14:paraId="457D56FA" w14:textId="77777777" w:rsidR="00BC3345" w:rsidRPr="00A74164" w:rsidRDefault="00BC3345" w:rsidP="00BC3345">
      <w:pPr>
        <w:pStyle w:val="Encadrdocument"/>
        <w:rPr>
          <w:b/>
        </w:rPr>
      </w:pPr>
      <w:r w:rsidRPr="00A74164">
        <w:rPr>
          <w:b/>
        </w:rPr>
        <w:t xml:space="preserve">Document </w:t>
      </w:r>
      <w:r>
        <w:rPr>
          <w:b/>
        </w:rPr>
        <w:t>1</w:t>
      </w:r>
      <w:r w:rsidRPr="00A74164">
        <w:rPr>
          <w:b/>
        </w:rPr>
        <w:t xml:space="preserve"> : </w:t>
      </w:r>
      <w:r w:rsidRPr="00E66C96">
        <w:t>Les chiffres des VSS en France</w:t>
      </w:r>
    </w:p>
    <w:p w14:paraId="747EA01D" w14:textId="0EEB01AB" w:rsidR="00BC3345" w:rsidRDefault="00BC3345" w:rsidP="00BC3345">
      <w:pPr>
        <w:pStyle w:val="Encadrdocument"/>
      </w:pPr>
      <w:r>
        <w:t xml:space="preserve">Sources : </w:t>
      </w:r>
      <w:hyperlink r:id="rId31" w:history="1">
        <w:r w:rsidR="00582F73" w:rsidRPr="00582F73">
          <w:rPr>
            <w:rStyle w:val="Lienhypertexte"/>
          </w:rPr>
          <w:t>arretonslesviolences.gouv.fr</w:t>
        </w:r>
      </w:hyperlink>
      <w:r w:rsidR="00582F73">
        <w:t xml:space="preserve"> </w:t>
      </w:r>
    </w:p>
    <w:p w14:paraId="38D17CEF" w14:textId="77777777" w:rsidR="00BC3345" w:rsidRDefault="00BC3345" w:rsidP="00BC3345">
      <w:pPr>
        <w:pStyle w:val="Encadrdocument"/>
      </w:pPr>
      <w:r>
        <w:t>Voir aussi la publication du ministère chargé de l’égalité entre les femmes et les hommes et de la lutte contre les discriminations, « </w:t>
      </w:r>
      <w:hyperlink r:id="rId32" w:history="1">
        <w:r w:rsidRPr="001711B2">
          <w:rPr>
            <w:rStyle w:val="Lienhypertexte"/>
          </w:rPr>
          <w:t>Chiffres clés : vers l’égalité réelle entre les femmes et les hommes</w:t>
        </w:r>
      </w:hyperlink>
      <w:r>
        <w:t> », édition 2024, pp. 9-24.</w:t>
      </w:r>
    </w:p>
    <w:p w14:paraId="7DDCEC03" w14:textId="267229A3" w:rsidR="00BC3345" w:rsidRDefault="00BC3345" w:rsidP="00582F73">
      <w:pPr>
        <w:pStyle w:val="Encadrdocument"/>
        <w:rPr>
          <w:rStyle w:val="Lienhypertexte"/>
        </w:rPr>
      </w:pPr>
      <w:r w:rsidRPr="00E66C96">
        <w:rPr>
          <w:b/>
          <w:bCs w:val="0"/>
        </w:rPr>
        <w:t>Document 2</w:t>
      </w:r>
      <w:r>
        <w:t xml:space="preserve"> : </w:t>
      </w:r>
      <w:hyperlink r:id="rId33" w:history="1">
        <w:r w:rsidR="00582F73" w:rsidRPr="00582F73">
          <w:rPr>
            <w:rStyle w:val="Lienhypertexte"/>
          </w:rPr>
          <w:t>Comprendre les chiffres pour mieux défendre les femmes et les enfants victimes de violences sexistes et sexuelles</w:t>
        </w:r>
      </w:hyperlink>
    </w:p>
    <w:p w14:paraId="6F8758F0" w14:textId="77777777" w:rsidR="00BC3345" w:rsidRPr="00F773BB" w:rsidRDefault="00BC3345" w:rsidP="00BC3345">
      <w:pPr>
        <w:pStyle w:val="Encadrdocument"/>
      </w:pPr>
      <w:r w:rsidRPr="00DA28EF">
        <w:rPr>
          <w:b/>
        </w:rPr>
        <w:t xml:space="preserve">Document </w:t>
      </w:r>
      <w:r>
        <w:rPr>
          <w:b/>
        </w:rPr>
        <w:t>3</w:t>
      </w:r>
      <w:r w:rsidRPr="00F773BB">
        <w:t xml:space="preserve"> : « </w:t>
      </w:r>
      <w:hyperlink r:id="rId34" w:history="1">
        <w:r w:rsidRPr="00F773BB">
          <w:rPr>
            <w:rStyle w:val="Lienhypertexte"/>
          </w:rPr>
          <w:t>Divorce pour manquement au « devoir conjugal » : la France condamnée par la CEDH</w:t>
        </w:r>
      </w:hyperlink>
      <w:r w:rsidRPr="00F773BB">
        <w:t> »</w:t>
      </w:r>
      <w:r w:rsidRPr="00DA28EF">
        <w:t>,</w:t>
      </w:r>
      <w:r w:rsidRPr="00F773BB">
        <w:t xml:space="preserve"> </w:t>
      </w:r>
      <w:r w:rsidRPr="00F773BB">
        <w:rPr>
          <w:i/>
          <w:iCs/>
        </w:rPr>
        <w:t>Libération</w:t>
      </w:r>
      <w:r w:rsidRPr="00F773BB">
        <w:t xml:space="preserve"> ; </w:t>
      </w:r>
      <w:r w:rsidRPr="00F773BB">
        <w:rPr>
          <w:i/>
          <w:iCs/>
        </w:rPr>
        <w:t>AFP</w:t>
      </w:r>
      <w:r w:rsidRPr="00F773BB">
        <w:t xml:space="preserve"> et Isabelle Mercier,</w:t>
      </w:r>
      <w:r>
        <w:t xml:space="preserve"> </w:t>
      </w:r>
      <w:r w:rsidRPr="00F773BB">
        <w:t>23 janvier 2025.</w:t>
      </w:r>
    </w:p>
    <w:p w14:paraId="63C91826" w14:textId="77777777" w:rsidR="00BC3345" w:rsidRDefault="00BC3345" w:rsidP="00BC3345">
      <w:pPr>
        <w:pStyle w:val="Encadrdocument"/>
      </w:pPr>
      <w:r w:rsidRPr="00E66C96">
        <w:rPr>
          <w:b/>
          <w:bCs w:val="0"/>
        </w:rPr>
        <w:t xml:space="preserve">Document </w:t>
      </w:r>
      <w:r>
        <w:rPr>
          <w:b/>
          <w:bCs w:val="0"/>
        </w:rPr>
        <w:t>4</w:t>
      </w:r>
      <w:r>
        <w:t xml:space="preserve"> : </w:t>
      </w:r>
      <w:r w:rsidRPr="000E2A8D">
        <w:rPr>
          <w:rStyle w:val="Lienhypertexte"/>
        </w:rPr>
        <w:t xml:space="preserve">l’évolution de la définition pénale du viol par la loi du </w:t>
      </w:r>
      <w:hyperlink r:id="rId35" w:history="1">
        <w:r w:rsidRPr="000E2A8D">
          <w:rPr>
            <w:rStyle w:val="Lienhypertexte"/>
          </w:rPr>
          <w:t>6 novembre 2025</w:t>
        </w:r>
      </w:hyperlink>
      <w:r w:rsidRPr="000E2A8D">
        <w:rPr>
          <w:rStyle w:val="Lienhypertexte"/>
        </w:rPr>
        <w:t> : celle-ci intègre le non-consentement dans la définition pénale.</w:t>
      </w:r>
    </w:p>
    <w:p w14:paraId="18B40173" w14:textId="77777777" w:rsidR="00BC3345" w:rsidRDefault="00BC3345" w:rsidP="00582F73">
      <w:pPr>
        <w:pStyle w:val="Titre4"/>
      </w:pPr>
      <w:r>
        <w:t>Dans le monde professionnel</w:t>
      </w:r>
    </w:p>
    <w:p w14:paraId="4CA849C8" w14:textId="77777777" w:rsidR="00BC3345" w:rsidRDefault="00BC3345" w:rsidP="00BC3345">
      <w:pPr>
        <w:pStyle w:val="Encadrdocumenttitre"/>
        <w:ind w:left="360"/>
      </w:pPr>
      <w:r>
        <w:t>Corpus documentaire</w:t>
      </w:r>
    </w:p>
    <w:p w14:paraId="6F234F8D" w14:textId="77777777" w:rsidR="00BC3345" w:rsidRPr="00E66C96" w:rsidRDefault="00BC3345" w:rsidP="00582F73">
      <w:pPr>
        <w:pStyle w:val="Encadrdocumenttitre"/>
        <w:spacing w:before="100" w:after="120"/>
        <w:ind w:left="360"/>
        <w:rPr>
          <w:rFonts w:ascii="Marianne Light" w:hAnsi="Marianne Light"/>
          <w:b w:val="0"/>
          <w:bCs/>
          <w:color w:val="auto"/>
          <w:sz w:val="18"/>
          <w:szCs w:val="18"/>
        </w:rPr>
      </w:pPr>
      <w:r w:rsidRPr="0009565F">
        <w:rPr>
          <w:rFonts w:ascii="Marianne Light" w:hAnsi="Marianne Light"/>
          <w:color w:val="auto"/>
          <w:sz w:val="18"/>
          <w:szCs w:val="18"/>
        </w:rPr>
        <w:t xml:space="preserve">Document 1 : </w:t>
      </w:r>
      <w:r w:rsidRPr="00E66C96">
        <w:rPr>
          <w:rFonts w:ascii="Marianne Light" w:hAnsi="Marianne Light"/>
          <w:b w:val="0"/>
          <w:bCs/>
          <w:color w:val="auto"/>
          <w:sz w:val="18"/>
          <w:szCs w:val="18"/>
        </w:rPr>
        <w:t>Inégalités salariales entre les sexes</w:t>
      </w:r>
    </w:p>
    <w:p w14:paraId="38AFC285" w14:textId="5FF2D72F" w:rsidR="00BC3345" w:rsidRDefault="00BC3345" w:rsidP="00582F73">
      <w:pPr>
        <w:pStyle w:val="Encadrdocumenttitre"/>
        <w:spacing w:after="120"/>
        <w:ind w:left="360"/>
        <w:rPr>
          <w:rFonts w:ascii="Marianne Light" w:hAnsi="Marianne Light"/>
          <w:b w:val="0"/>
          <w:bCs/>
          <w:color w:val="auto"/>
          <w:sz w:val="18"/>
          <w:szCs w:val="18"/>
        </w:rPr>
      </w:pPr>
      <w:r w:rsidRPr="005003FF">
        <w:rPr>
          <w:rFonts w:ascii="Marianne Light" w:hAnsi="Marianne Light"/>
          <w:b w:val="0"/>
          <w:bCs/>
          <w:color w:val="auto"/>
          <w:sz w:val="18"/>
          <w:szCs w:val="18"/>
        </w:rPr>
        <w:t xml:space="preserve">Source : </w:t>
      </w:r>
      <w:hyperlink r:id="rId36" w:history="1">
        <w:r w:rsidR="00582F73" w:rsidRPr="00582F73">
          <w:rPr>
            <w:rStyle w:val="Lienhypertexte"/>
            <w:rFonts w:ascii="Marianne Light" w:hAnsi="Marianne Light"/>
            <w:b w:val="0"/>
            <w:bCs/>
            <w:sz w:val="18"/>
            <w:szCs w:val="18"/>
          </w:rPr>
          <w:t>Insee.fr</w:t>
        </w:r>
      </w:hyperlink>
    </w:p>
    <w:p w14:paraId="49C62A2E" w14:textId="29A56BB3" w:rsidR="00BC3345" w:rsidRPr="00E66C96" w:rsidRDefault="00BC3345" w:rsidP="00582F73">
      <w:pPr>
        <w:pStyle w:val="Encadrdocumenttitre"/>
        <w:spacing w:before="100" w:after="120"/>
        <w:ind w:left="360"/>
        <w:rPr>
          <w:rFonts w:ascii="Marianne Light" w:hAnsi="Marianne Light"/>
          <w:b w:val="0"/>
          <w:bCs/>
          <w:color w:val="auto"/>
          <w:sz w:val="18"/>
          <w:szCs w:val="18"/>
        </w:rPr>
      </w:pPr>
      <w:r w:rsidRPr="005003FF">
        <w:rPr>
          <w:rFonts w:ascii="Marianne Light" w:hAnsi="Marianne Light"/>
          <w:color w:val="auto"/>
          <w:sz w:val="18"/>
          <w:szCs w:val="18"/>
        </w:rPr>
        <w:t xml:space="preserve">Document 2 : </w:t>
      </w:r>
      <w:r w:rsidRPr="00E66C96">
        <w:rPr>
          <w:rFonts w:ascii="Marianne Light" w:hAnsi="Marianne Light"/>
          <w:b w:val="0"/>
          <w:bCs/>
          <w:color w:val="auto"/>
          <w:sz w:val="18"/>
          <w:szCs w:val="18"/>
        </w:rPr>
        <w:t>Evolution de l’accession des femmes aux branches professionnelles</w:t>
      </w:r>
    </w:p>
    <w:p w14:paraId="524CF396" w14:textId="7C9ADDAD" w:rsidR="00BC3345" w:rsidRDefault="00BC3345" w:rsidP="00582F73">
      <w:pPr>
        <w:pStyle w:val="Encadrdocumenttitre"/>
        <w:spacing w:after="100"/>
        <w:ind w:left="360"/>
        <w:rPr>
          <w:rFonts w:ascii="Marianne Light" w:hAnsi="Marianne Light"/>
          <w:b w:val="0"/>
          <w:bCs/>
          <w:color w:val="auto"/>
          <w:sz w:val="18"/>
          <w:szCs w:val="18"/>
        </w:rPr>
      </w:pPr>
      <w:r>
        <w:rPr>
          <w:rFonts w:ascii="Marianne Light" w:hAnsi="Marianne Light"/>
          <w:b w:val="0"/>
          <w:bCs/>
          <w:color w:val="auto"/>
          <w:sz w:val="18"/>
          <w:szCs w:val="18"/>
        </w:rPr>
        <w:t>Source :</w:t>
      </w:r>
      <w:r w:rsidR="00582F73">
        <w:rPr>
          <w:rFonts w:ascii="Marianne Light" w:hAnsi="Marianne Light"/>
          <w:b w:val="0"/>
          <w:bCs/>
          <w:color w:val="auto"/>
          <w:sz w:val="18"/>
          <w:szCs w:val="18"/>
        </w:rPr>
        <w:t xml:space="preserve"> </w:t>
      </w:r>
      <w:hyperlink r:id="rId37" w:history="1">
        <w:r w:rsidR="00582F73" w:rsidRPr="00582F73">
          <w:rPr>
            <w:rStyle w:val="Lienhypertexte"/>
            <w:rFonts w:ascii="Marianne Light" w:hAnsi="Marianne Light"/>
            <w:b w:val="0"/>
            <w:bCs/>
            <w:sz w:val="18"/>
            <w:szCs w:val="18"/>
          </w:rPr>
          <w:t>prefectures-regions.gouv.fr</w:t>
        </w:r>
      </w:hyperlink>
      <w:r>
        <w:rPr>
          <w:rStyle w:val="Lienhypertexte"/>
          <w:rFonts w:ascii="Marianne Light" w:hAnsi="Marianne Light"/>
          <w:b w:val="0"/>
          <w:bCs/>
          <w:sz w:val="18"/>
          <w:szCs w:val="18"/>
        </w:rPr>
        <w:t xml:space="preserve"> </w:t>
      </w:r>
    </w:p>
    <w:p w14:paraId="35B10BD1" w14:textId="77777777" w:rsidR="009F0A7D" w:rsidRDefault="009F0A7D" w:rsidP="009F0A7D">
      <w:pPr>
        <w:pStyle w:val="Titre4"/>
        <w:spacing w:before="100"/>
      </w:pPr>
      <w:r>
        <w:br w:type="page"/>
      </w:r>
    </w:p>
    <w:p w14:paraId="4116ADD8" w14:textId="60F86E6C" w:rsidR="00BC3345" w:rsidRPr="00DE27D3" w:rsidRDefault="00BC3345" w:rsidP="009F0A7D">
      <w:pPr>
        <w:pStyle w:val="Titre4"/>
        <w:spacing w:before="100"/>
      </w:pPr>
      <w:r>
        <w:lastRenderedPageBreak/>
        <w:t>Dans l’enseignement</w:t>
      </w:r>
    </w:p>
    <w:p w14:paraId="1E1818BA" w14:textId="77777777" w:rsidR="00BC3345" w:rsidRDefault="00BC3345" w:rsidP="00BC3345">
      <w:pPr>
        <w:pStyle w:val="Encadrdocumenttitre"/>
      </w:pPr>
      <w:r>
        <w:t>Corpus documentaire</w:t>
      </w:r>
    </w:p>
    <w:p w14:paraId="1D796892" w14:textId="77777777" w:rsidR="00BC3345" w:rsidRPr="0009565F" w:rsidRDefault="00BC3345" w:rsidP="00BC3345">
      <w:pPr>
        <w:pStyle w:val="Encadrdocumenttitre"/>
        <w:rPr>
          <w:rFonts w:ascii="Marianne Light" w:hAnsi="Marianne Light"/>
          <w:color w:val="auto"/>
          <w:sz w:val="18"/>
          <w:szCs w:val="18"/>
        </w:rPr>
      </w:pPr>
      <w:r w:rsidRPr="0009565F">
        <w:rPr>
          <w:rFonts w:ascii="Marianne Light" w:hAnsi="Marianne Light"/>
          <w:color w:val="auto"/>
          <w:sz w:val="18"/>
          <w:szCs w:val="18"/>
        </w:rPr>
        <w:t xml:space="preserve">Document 1 : </w:t>
      </w:r>
      <w:r w:rsidRPr="00E66C96">
        <w:rPr>
          <w:rFonts w:ascii="Marianne Light" w:hAnsi="Marianne Light"/>
          <w:b w:val="0"/>
          <w:bCs/>
          <w:color w:val="auto"/>
          <w:sz w:val="18"/>
          <w:szCs w:val="18"/>
        </w:rPr>
        <w:t>L’orientation scolaire selon le sexe des élèves en voie professionnelle</w:t>
      </w:r>
      <w:r>
        <w:rPr>
          <w:rFonts w:ascii="Marianne Light" w:hAnsi="Marianne Light"/>
          <w:b w:val="0"/>
          <w:bCs/>
          <w:color w:val="auto"/>
          <w:sz w:val="18"/>
          <w:szCs w:val="18"/>
        </w:rPr>
        <w:t xml:space="preserve"> </w:t>
      </w:r>
    </w:p>
    <w:p w14:paraId="55AD6A13" w14:textId="77777777" w:rsidR="00BC3345" w:rsidRDefault="00BC3345" w:rsidP="00BC3345">
      <w:pPr>
        <w:pStyle w:val="Encadrdocument"/>
        <w:rPr>
          <w:b/>
          <w:bCs w:val="0"/>
        </w:rPr>
      </w:pPr>
      <w:r w:rsidRPr="00E56C8C">
        <w:rPr>
          <w:noProof/>
          <w:lang w:eastAsia="fr-FR"/>
        </w:rPr>
        <w:drawing>
          <wp:inline distT="0" distB="0" distL="0" distR="0" wp14:anchorId="660C720D" wp14:editId="068052AA">
            <wp:extent cx="5760720" cy="2294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0830" name=""/>
                    <pic:cNvPicPr/>
                  </pic:nvPicPr>
                  <pic:blipFill>
                    <a:blip r:embed="rId38"/>
                    <a:stretch>
                      <a:fillRect/>
                    </a:stretch>
                  </pic:blipFill>
                  <pic:spPr>
                    <a:xfrm>
                      <a:off x="0" y="0"/>
                      <a:ext cx="5760720" cy="2294255"/>
                    </a:xfrm>
                    <a:prstGeom prst="rect">
                      <a:avLst/>
                    </a:prstGeom>
                  </pic:spPr>
                </pic:pic>
              </a:graphicData>
            </a:graphic>
          </wp:inline>
        </w:drawing>
      </w:r>
    </w:p>
    <w:p w14:paraId="78CB4E37" w14:textId="77777777" w:rsidR="00BC3345" w:rsidRDefault="00BC3345" w:rsidP="00BC3345">
      <w:pPr>
        <w:pStyle w:val="Encadrdocument"/>
      </w:pPr>
      <w:r w:rsidRPr="00E66C96">
        <w:t>Source : SIASEPP-SPS de Grenoble, Service interacadémique de la statistique de l’évaluation, de la prospective et de la performance, Service prospective et statistique de Grenoble</w:t>
      </w:r>
    </w:p>
    <w:p w14:paraId="67EFB90D" w14:textId="6592DFEF" w:rsidR="00D07582" w:rsidRPr="00D07582" w:rsidRDefault="00D07582" w:rsidP="00BC3345">
      <w:pPr>
        <w:pStyle w:val="Encadrdocument"/>
        <w:rPr>
          <w:i/>
          <w:iCs/>
        </w:rPr>
      </w:pPr>
      <w:r>
        <w:rPr>
          <w:i/>
          <w:iCs/>
        </w:rPr>
        <w:t xml:space="preserve">En jaune, la part des filles et en bleu la part des garçons dans les différentes filières. </w:t>
      </w:r>
    </w:p>
    <w:p w14:paraId="3897DF08" w14:textId="77777777" w:rsidR="00BC3345" w:rsidRDefault="00BC3345" w:rsidP="00BC3345">
      <w:pPr>
        <w:pStyle w:val="Encadrdocument"/>
      </w:pPr>
      <w:r w:rsidRPr="00E64CE2">
        <w:rPr>
          <w:b/>
          <w:bCs w:val="0"/>
        </w:rPr>
        <w:t xml:space="preserve">Document </w:t>
      </w:r>
      <w:r>
        <w:rPr>
          <w:b/>
          <w:bCs w:val="0"/>
        </w:rPr>
        <w:t xml:space="preserve">2 : </w:t>
      </w:r>
      <w:r>
        <w:t>« </w:t>
      </w:r>
      <w:hyperlink r:id="rId39" w:history="1">
        <w:r w:rsidRPr="00326F74">
          <w:rPr>
            <w:rStyle w:val="Lienhypertexte"/>
          </w:rPr>
          <w:t>Les filles sont-elles meilleures à l'école</w:t>
        </w:r>
        <w:r>
          <w:rPr>
            <w:rStyle w:val="Lienhypertexte"/>
          </w:rPr>
          <w:t> ? »</w:t>
        </w:r>
      </w:hyperlink>
      <w:r>
        <w:t>, v</w:t>
      </w:r>
      <w:r w:rsidRPr="00E66C96">
        <w:t xml:space="preserve">idéo </w:t>
      </w:r>
      <w:r w:rsidRPr="00E66C96">
        <w:rPr>
          <w:i/>
          <w:iCs/>
        </w:rPr>
        <w:t>Un jour une question</w:t>
      </w:r>
      <w:r w:rsidRPr="00E66C96">
        <w:t xml:space="preserve"> sur la réussite scolaire selon les sexes</w:t>
      </w:r>
      <w:r>
        <w:t xml:space="preserve">, publiée le 9 octobre 2020. </w:t>
      </w:r>
    </w:p>
    <w:p w14:paraId="715DAD0D" w14:textId="3BA86530" w:rsidR="00BC3345" w:rsidRDefault="00BC3345" w:rsidP="00BC3345">
      <w:pPr>
        <w:pStyle w:val="Encadrdocument"/>
      </w:pPr>
      <w:r w:rsidRPr="00E66C96">
        <w:rPr>
          <w:b/>
          <w:bCs w:val="0"/>
        </w:rPr>
        <w:t>Document 3</w:t>
      </w:r>
      <w:r>
        <w:t xml:space="preserve"> : </w:t>
      </w:r>
      <w:r w:rsidR="009F0A7D">
        <w:t>m</w:t>
      </w:r>
      <w:r>
        <w:t>inistère de l’</w:t>
      </w:r>
      <w:r w:rsidR="009F0A7D">
        <w:t>É</w:t>
      </w:r>
      <w:r>
        <w:t xml:space="preserve">ducation nationale, DEPP, </w:t>
      </w:r>
      <w:hyperlink r:id="rId40" w:history="1">
        <w:r w:rsidRPr="00E66C96">
          <w:rPr>
            <w:rStyle w:val="Lienhypertexte"/>
            <w:i/>
            <w:iCs/>
          </w:rPr>
          <w:t>Filles et garçons sur le chemin de l’égalité</w:t>
        </w:r>
      </w:hyperlink>
      <w:r>
        <w:t>, 2025.</w:t>
      </w:r>
    </w:p>
    <w:p w14:paraId="31C4CD80" w14:textId="77777777" w:rsidR="00BC3345" w:rsidRDefault="00BC3345" w:rsidP="00BC3345">
      <w:pPr>
        <w:pStyle w:val="Encadrdocument"/>
      </w:pPr>
      <w:r>
        <w:t xml:space="preserve">Document 4 : Centre </w:t>
      </w:r>
      <w:proofErr w:type="spellStart"/>
      <w:r>
        <w:t>Hubertine</w:t>
      </w:r>
      <w:proofErr w:type="spellEnd"/>
      <w:r>
        <w:t xml:space="preserve"> </w:t>
      </w:r>
      <w:proofErr w:type="spellStart"/>
      <w:r>
        <w:t>Auclert</w:t>
      </w:r>
      <w:proofErr w:type="spellEnd"/>
      <w:r>
        <w:t xml:space="preserve">, </w:t>
      </w:r>
      <w:hyperlink r:id="rId41" w:history="1">
        <w:r w:rsidRPr="00F15750">
          <w:rPr>
            <w:rStyle w:val="Lienhypertexte"/>
          </w:rPr>
          <w:t>« Gênant ? Surtout violent ! » : comprendre et agir contre les (cyber)violences de genre ! »</w:t>
        </w:r>
      </w:hyperlink>
      <w:r>
        <w:t>, novembre 2025. Voir l’enquête sur la page, et pages 6-7 de la synthèse.</w:t>
      </w:r>
    </w:p>
    <w:p w14:paraId="31DF729A" w14:textId="77777777" w:rsidR="009F0A7D" w:rsidRDefault="009F0A7D">
      <w:pPr>
        <w:spacing w:line="259" w:lineRule="auto"/>
        <w:rPr>
          <w:rFonts w:ascii="Marianne Medium" w:hAnsi="Marianne Medium"/>
          <w:color w:val="2E2090"/>
          <w:sz w:val="28"/>
          <w:szCs w:val="26"/>
        </w:rPr>
      </w:pPr>
      <w:bookmarkStart w:id="0" w:name="_Toc208922243"/>
      <w:r>
        <w:br w:type="page"/>
      </w:r>
    </w:p>
    <w:p w14:paraId="5051F5DF" w14:textId="2C075F4A" w:rsidR="00BC3345" w:rsidRDefault="00BC3345" w:rsidP="009F0A7D">
      <w:pPr>
        <w:pStyle w:val="Titre2"/>
        <w:spacing w:before="100"/>
      </w:pPr>
      <w:r w:rsidRPr="004A79CE">
        <w:lastRenderedPageBreak/>
        <w:t xml:space="preserve">Proposition </w:t>
      </w:r>
      <w:r>
        <w:t>de projet</w:t>
      </w:r>
      <w:r w:rsidRPr="004A79CE">
        <w:t xml:space="preserve"> pour la mise en œuvre : </w:t>
      </w:r>
      <w:r>
        <w:t xml:space="preserve">élaborer un podcast sur la résistance à l’égalité femmes-hommes, l’exemple du masculinisme </w:t>
      </w:r>
      <w:bookmarkEnd w:id="0"/>
    </w:p>
    <w:p w14:paraId="4B1DE61C" w14:textId="70A437A2" w:rsidR="00BC3345" w:rsidRPr="00F70A03" w:rsidRDefault="00BC3345" w:rsidP="009F0A7D">
      <w:pPr>
        <w:pStyle w:val="Titre3"/>
      </w:pPr>
      <w:r w:rsidRPr="00F70A03">
        <w:t xml:space="preserve">Temps 1 : </w:t>
      </w:r>
      <w:r w:rsidR="009F0A7D">
        <w:t>d</w:t>
      </w:r>
      <w:r>
        <w:t>écouvrir le masculinisme</w:t>
      </w:r>
    </w:p>
    <w:p w14:paraId="3D5D04A2" w14:textId="77777777" w:rsidR="00BC3345" w:rsidRDefault="00BC3345" w:rsidP="00BC3345">
      <w:pPr>
        <w:pStyle w:val="Encadrdocumenttitre"/>
        <w:rPr>
          <w:lang w:eastAsia="fr-FR"/>
        </w:rPr>
      </w:pPr>
      <w:r w:rsidRPr="00D24BC5">
        <w:rPr>
          <w:lang w:eastAsia="fr-FR"/>
        </w:rPr>
        <w:t>Dossier documentaire</w:t>
      </w:r>
    </w:p>
    <w:p w14:paraId="348786FB" w14:textId="77777777" w:rsidR="00BC3345" w:rsidRPr="00F70CE8" w:rsidRDefault="00BC3345" w:rsidP="00BC3345">
      <w:pPr>
        <w:pStyle w:val="Encadrdocument"/>
        <w:rPr>
          <w:b/>
          <w:bCs w:val="0"/>
          <w:lang w:eastAsia="fr-FR"/>
        </w:rPr>
      </w:pPr>
      <w:r w:rsidRPr="00F70CE8">
        <w:rPr>
          <w:b/>
          <w:bCs w:val="0"/>
          <w:lang w:eastAsia="fr-FR"/>
        </w:rPr>
        <w:t>Les documents sont reproduits dans l’annexe documentaire</w:t>
      </w:r>
      <w:r>
        <w:rPr>
          <w:b/>
          <w:bCs w:val="0"/>
          <w:lang w:eastAsia="fr-FR"/>
        </w:rPr>
        <w:t>.</w:t>
      </w:r>
    </w:p>
    <w:p w14:paraId="4E5213A4" w14:textId="77777777" w:rsidR="00BC3345" w:rsidRPr="00D24BC5" w:rsidRDefault="00BC3345" w:rsidP="00BC3345">
      <w:pPr>
        <w:pStyle w:val="Encadrdocument"/>
        <w:rPr>
          <w:lang w:eastAsia="fr-FR"/>
        </w:rPr>
      </w:pPr>
      <w:r w:rsidRPr="00E66C96">
        <w:rPr>
          <w:b/>
          <w:bCs w:val="0"/>
          <w:lang w:eastAsia="fr-FR"/>
        </w:rPr>
        <w:t>Document 1 </w:t>
      </w:r>
      <w:r w:rsidRPr="00D24BC5">
        <w:rPr>
          <w:lang w:eastAsia="fr-FR"/>
        </w:rPr>
        <w:t xml:space="preserve">: </w:t>
      </w:r>
      <w:r>
        <w:rPr>
          <w:lang w:eastAsia="fr-FR"/>
        </w:rPr>
        <w:t>Paroles de la chanson « Kid »</w:t>
      </w:r>
    </w:p>
    <w:p w14:paraId="3DC846DB" w14:textId="77777777" w:rsidR="00BC3345" w:rsidRPr="00F70CE8" w:rsidRDefault="00BC3345" w:rsidP="00BC3345">
      <w:pPr>
        <w:pStyle w:val="Encadrdocument"/>
        <w:rPr>
          <w:lang w:eastAsia="fr-FR"/>
        </w:rPr>
      </w:pPr>
      <w:r>
        <w:rPr>
          <w:lang w:eastAsia="fr-FR"/>
        </w:rPr>
        <w:t>De « </w:t>
      </w:r>
      <w:r w:rsidRPr="009831EE">
        <w:rPr>
          <w:lang w:eastAsia="fr-FR"/>
        </w:rPr>
        <w:t xml:space="preserve">Tu seras viril mon kid, </w:t>
      </w:r>
      <w:r>
        <w:rPr>
          <w:lang w:eastAsia="fr-FR"/>
        </w:rPr>
        <w:t>… » à « </w:t>
      </w:r>
      <w:r w:rsidRPr="009831EE">
        <w:rPr>
          <w:lang w:eastAsia="fr-FR"/>
        </w:rPr>
        <w:t>Pour que tes propos cessent et disparaissent</w:t>
      </w:r>
      <w:r>
        <w:rPr>
          <w:lang w:eastAsia="fr-FR"/>
        </w:rPr>
        <w:t> »</w:t>
      </w:r>
    </w:p>
    <w:p w14:paraId="475315F3" w14:textId="77777777" w:rsidR="00BC3345" w:rsidRDefault="00BC3345" w:rsidP="00BC3345">
      <w:pPr>
        <w:pStyle w:val="Encadrdocument"/>
        <w:rPr>
          <w:lang w:eastAsia="fr-FR"/>
        </w:rPr>
      </w:pPr>
      <w:r w:rsidRPr="00F70CE8">
        <w:rPr>
          <w:b/>
          <w:bCs w:val="0"/>
          <w:lang w:eastAsia="fr-FR"/>
        </w:rPr>
        <w:t>Source</w:t>
      </w:r>
      <w:r>
        <w:rPr>
          <w:lang w:eastAsia="fr-FR"/>
        </w:rPr>
        <w:t xml:space="preserve"> : « Kid », Eddy de </w:t>
      </w:r>
      <w:proofErr w:type="spellStart"/>
      <w:r>
        <w:rPr>
          <w:lang w:eastAsia="fr-FR"/>
        </w:rPr>
        <w:t>Pretto</w:t>
      </w:r>
      <w:proofErr w:type="spellEnd"/>
      <w:r>
        <w:rPr>
          <w:lang w:eastAsia="fr-FR"/>
        </w:rPr>
        <w:t xml:space="preserve">, Paroles de Eddy de </w:t>
      </w:r>
      <w:proofErr w:type="spellStart"/>
      <w:r>
        <w:rPr>
          <w:lang w:eastAsia="fr-FR"/>
        </w:rPr>
        <w:t>Pretto</w:t>
      </w:r>
      <w:proofErr w:type="spellEnd"/>
      <w:r>
        <w:rPr>
          <w:lang w:eastAsia="fr-FR"/>
        </w:rPr>
        <w:t xml:space="preserve"> et Cédric Janin, octobre 2017.</w:t>
      </w:r>
    </w:p>
    <w:p w14:paraId="5046C4FD" w14:textId="5A313B3E" w:rsidR="00BC3345" w:rsidRPr="00F70CE8" w:rsidRDefault="00BC3345" w:rsidP="009F0A7D">
      <w:pPr>
        <w:pStyle w:val="Encadrdocument"/>
        <w:spacing w:before="240"/>
        <w:rPr>
          <w:b/>
          <w:bCs w:val="0"/>
          <w:lang w:eastAsia="fr-FR"/>
        </w:rPr>
      </w:pPr>
      <w:bookmarkStart w:id="1" w:name="_Hlk224826453"/>
      <w:r w:rsidRPr="00F70CE8">
        <w:rPr>
          <w:b/>
          <w:bCs w:val="0"/>
          <w:lang w:eastAsia="fr-FR"/>
        </w:rPr>
        <w:t>Document 2 : Vidéo « </w:t>
      </w:r>
      <w:hyperlink r:id="rId42" w:history="1">
        <w:r w:rsidRPr="00BC3345">
          <w:rPr>
            <w:rStyle w:val="Lienhypertexte"/>
            <w:b/>
            <w:bCs w:val="0"/>
            <w:lang w:eastAsia="fr-FR"/>
          </w:rPr>
          <w:t>Qu’est-ce que le masculinisme </w:t>
        </w:r>
      </w:hyperlink>
      <w:r w:rsidRPr="00F70CE8">
        <w:rPr>
          <w:b/>
          <w:bCs w:val="0"/>
          <w:lang w:eastAsia="fr-FR"/>
        </w:rPr>
        <w:t xml:space="preserve">», </w:t>
      </w:r>
      <w:proofErr w:type="spellStart"/>
      <w:r w:rsidRPr="00F70CE8">
        <w:rPr>
          <w:b/>
          <w:bCs w:val="0"/>
          <w:i/>
          <w:lang w:eastAsia="fr-FR"/>
        </w:rPr>
        <w:t>Lumni</w:t>
      </w:r>
      <w:proofErr w:type="spellEnd"/>
      <w:r>
        <w:rPr>
          <w:b/>
          <w:bCs w:val="0"/>
          <w:i/>
          <w:lang w:eastAsia="fr-FR"/>
        </w:rPr>
        <w:t xml:space="preserve"> enseignement</w:t>
      </w:r>
      <w:r w:rsidRPr="00F70CE8">
        <w:rPr>
          <w:b/>
          <w:bCs w:val="0"/>
          <w:lang w:eastAsia="fr-FR"/>
        </w:rPr>
        <w:t>, 2025</w:t>
      </w:r>
    </w:p>
    <w:bookmarkEnd w:id="1"/>
    <w:p w14:paraId="12E55ABE" w14:textId="77777777" w:rsidR="00BC3345" w:rsidRPr="00F70CE8" w:rsidRDefault="00BC3345" w:rsidP="009F0A7D">
      <w:pPr>
        <w:pStyle w:val="Encadrdocument"/>
        <w:spacing w:before="240"/>
        <w:rPr>
          <w:b/>
          <w:bCs w:val="0"/>
          <w:lang w:eastAsia="fr-FR"/>
        </w:rPr>
      </w:pPr>
      <w:r w:rsidRPr="00F70CE8">
        <w:rPr>
          <w:b/>
          <w:bCs w:val="0"/>
          <w:lang w:eastAsia="fr-FR"/>
        </w:rPr>
        <w:t xml:space="preserve">Document 3 : </w:t>
      </w:r>
      <w:r w:rsidRPr="00D25E7F">
        <w:rPr>
          <w:b/>
          <w:bCs w:val="0"/>
          <w:lang w:eastAsia="fr-FR"/>
        </w:rPr>
        <w:t xml:space="preserve">Forces et stratégies des mouvements </w:t>
      </w:r>
      <w:proofErr w:type="spellStart"/>
      <w:r w:rsidRPr="00D25E7F">
        <w:rPr>
          <w:b/>
          <w:bCs w:val="0"/>
          <w:lang w:eastAsia="fr-FR"/>
        </w:rPr>
        <w:t>masculinistes</w:t>
      </w:r>
      <w:proofErr w:type="spellEnd"/>
    </w:p>
    <w:p w14:paraId="03D6DC1B" w14:textId="77777777" w:rsidR="00BC3345" w:rsidRDefault="00BC3345" w:rsidP="00BC3345">
      <w:pPr>
        <w:pStyle w:val="Encadrdocument"/>
        <w:rPr>
          <w:lang w:eastAsia="fr-FR"/>
        </w:rPr>
      </w:pPr>
      <w:r>
        <w:rPr>
          <w:lang w:eastAsia="fr-FR"/>
        </w:rPr>
        <w:t>La contre-offensive patriarcale prend la forme de lobbies « </w:t>
      </w:r>
      <w:proofErr w:type="spellStart"/>
      <w:r>
        <w:rPr>
          <w:lang w:eastAsia="fr-FR"/>
        </w:rPr>
        <w:t>masculinistes</w:t>
      </w:r>
      <w:proofErr w:type="spellEnd"/>
      <w:r>
        <w:rPr>
          <w:lang w:eastAsia="fr-FR"/>
        </w:rPr>
        <w:t> » fortement organisés, véritablement internationaux et très riches – et en ces trois aspects ils diffèrent du mouvement féministe – qui déposent sur les bureaux des ministres et des députés, jour après jours, année après année, des propositions de remise en cause des lois sur l’avortement, sur le harcèlement sexuel, sur le divorce. Leurs actions visibles, comme celles des commandos anti-avortement, sont des exceptions ; c’est de façon souterraine, en formant des « experts » qui témoigneront devant les tribunaux, en écrivant des livres de psychologie, qu’ils œuvrent. Leurs cibles : droit à l’avortement, la garde des enfants, mais aussi la pénalisation des violences masculines contre les femmes et contre les enfants.</w:t>
      </w:r>
    </w:p>
    <w:p w14:paraId="64C6AA4F" w14:textId="77777777" w:rsidR="00BC3345" w:rsidRDefault="00BC3345" w:rsidP="00BC3345">
      <w:pPr>
        <w:pStyle w:val="Encadrdocument"/>
        <w:rPr>
          <w:lang w:eastAsia="fr-FR"/>
        </w:rPr>
      </w:pPr>
      <w:r w:rsidRPr="00F70CE8">
        <w:rPr>
          <w:b/>
          <w:bCs w:val="0"/>
          <w:lang w:eastAsia="fr-FR"/>
        </w:rPr>
        <w:t>Source</w:t>
      </w:r>
      <w:r>
        <w:rPr>
          <w:lang w:eastAsia="fr-FR"/>
        </w:rPr>
        <w:t> : Christine Delphy,</w:t>
      </w:r>
      <w:r w:rsidRPr="00882124">
        <w:rPr>
          <w:i/>
          <w:lang w:eastAsia="fr-FR"/>
        </w:rPr>
        <w:t xml:space="preserve"> Un universalisme si </w:t>
      </w:r>
      <w:proofErr w:type="gramStart"/>
      <w:r w:rsidRPr="00882124">
        <w:rPr>
          <w:i/>
          <w:lang w:eastAsia="fr-FR"/>
        </w:rPr>
        <w:t>particulier</w:t>
      </w:r>
      <w:r>
        <w:rPr>
          <w:lang w:eastAsia="fr-FR"/>
        </w:rPr>
        <w:t>,  2010</w:t>
      </w:r>
      <w:proofErr w:type="gramEnd"/>
      <w:r>
        <w:rPr>
          <w:lang w:eastAsia="fr-FR"/>
        </w:rPr>
        <w:t>.</w:t>
      </w:r>
    </w:p>
    <w:p w14:paraId="5EF005BC" w14:textId="1F2B2BD1" w:rsidR="00BC3345" w:rsidRPr="009F0A7D" w:rsidRDefault="00BC3345" w:rsidP="009F0A7D">
      <w:pPr>
        <w:pStyle w:val="Titre3"/>
      </w:pPr>
      <w:r w:rsidRPr="009F0A7D">
        <w:t xml:space="preserve">Temps 3 : </w:t>
      </w:r>
      <w:r w:rsidR="009F0A7D">
        <w:t>é</w:t>
      </w:r>
      <w:r w:rsidRPr="009F0A7D">
        <w:t xml:space="preserve">tudier les résultats de l’enquête </w:t>
      </w:r>
    </w:p>
    <w:p w14:paraId="1D73B288" w14:textId="77777777" w:rsidR="00BC3345" w:rsidRDefault="00BC3345" w:rsidP="00BC3345">
      <w:pPr>
        <w:pStyle w:val="Encadrdocumenttitre"/>
      </w:pPr>
      <w:r>
        <w:t xml:space="preserve">Supports documentaires </w:t>
      </w:r>
    </w:p>
    <w:p w14:paraId="7A94D0C9" w14:textId="77777777" w:rsidR="00BC3345" w:rsidRPr="00E66C96" w:rsidRDefault="00BC3345" w:rsidP="006C0719">
      <w:pPr>
        <w:pStyle w:val="Encadrdocument"/>
        <w:numPr>
          <w:ilvl w:val="0"/>
          <w:numId w:val="5"/>
        </w:numPr>
        <w:rPr>
          <w:b/>
          <w:bCs w:val="0"/>
        </w:rPr>
      </w:pPr>
      <w:proofErr w:type="gramStart"/>
      <w:r w:rsidRPr="00E66C96">
        <w:t>le</w:t>
      </w:r>
      <w:proofErr w:type="gramEnd"/>
      <w:r w:rsidRPr="00E66C96">
        <w:t xml:space="preserve"> </w:t>
      </w:r>
      <w:hyperlink r:id="rId43" w:history="1">
        <w:r w:rsidRPr="00E66C96">
          <w:rPr>
            <w:rStyle w:val="Lienhypertexte"/>
          </w:rPr>
          <w:t>rapport du Haut Conseil à l’Égalité entre les femmes et les hommes</w:t>
        </w:r>
      </w:hyperlink>
      <w:r w:rsidRPr="00E66C96">
        <w:t>, janvier 2025</w:t>
      </w:r>
      <w:r>
        <w:t xml:space="preserve"> </w:t>
      </w:r>
      <w:r>
        <w:rPr>
          <w:lang w:eastAsia="fr-FR"/>
        </w:rPr>
        <w:t xml:space="preserve">(à partir de la page 17 pour les différents baromètres). </w:t>
      </w:r>
    </w:p>
    <w:p w14:paraId="3A1AB6DD" w14:textId="77777777" w:rsidR="00BC3345" w:rsidRDefault="00BC3345" w:rsidP="006C0719">
      <w:pPr>
        <w:pStyle w:val="Encadrdocument"/>
        <w:numPr>
          <w:ilvl w:val="0"/>
          <w:numId w:val="5"/>
        </w:numPr>
      </w:pPr>
      <w:r>
        <w:t>Ministère chargé de l’égalité entre les femmes et les hommes et de la lutte contre les discriminations, « </w:t>
      </w:r>
      <w:hyperlink r:id="rId44" w:history="1">
        <w:r w:rsidRPr="001711B2">
          <w:rPr>
            <w:rStyle w:val="Lienhypertexte"/>
          </w:rPr>
          <w:t>Chiffres clés : vers l’égalité réelle entre les femmes et les hommes</w:t>
        </w:r>
      </w:hyperlink>
      <w:r>
        <w:t> », édition 2024 ;</w:t>
      </w:r>
    </w:p>
    <w:p w14:paraId="03807FD1" w14:textId="77777777" w:rsidR="00BC3345" w:rsidRDefault="00BC3345" w:rsidP="009F0A7D">
      <w:pPr>
        <w:pStyle w:val="Titre3"/>
      </w:pPr>
      <w:r w:rsidRPr="00F70A03">
        <w:t xml:space="preserve">Temps </w:t>
      </w:r>
      <w:r>
        <w:t>4</w:t>
      </w:r>
      <w:r w:rsidRPr="00F70A03">
        <w:t xml:space="preserve"> : </w:t>
      </w:r>
      <w:r>
        <w:t>rédaction des chroniques</w:t>
      </w:r>
    </w:p>
    <w:p w14:paraId="1DA334F1" w14:textId="77777777" w:rsidR="00BC3345" w:rsidRDefault="00BC3345" w:rsidP="00BC3345">
      <w:pPr>
        <w:pStyle w:val="Encadrdocumenttitre"/>
      </w:pPr>
      <w:r>
        <w:t xml:space="preserve">Supports documentaires </w:t>
      </w:r>
    </w:p>
    <w:p w14:paraId="1932D59F" w14:textId="77777777" w:rsidR="00BC3345" w:rsidRDefault="00176B32" w:rsidP="006C0719">
      <w:pPr>
        <w:pStyle w:val="Encadrdocument"/>
        <w:numPr>
          <w:ilvl w:val="0"/>
          <w:numId w:val="5"/>
        </w:numPr>
      </w:pPr>
      <w:hyperlink r:id="rId45" w:history="1">
        <w:r w:rsidR="00BC3345" w:rsidRPr="003028DD">
          <w:rPr>
            <w:rStyle w:val="Lienhypertexte"/>
          </w:rPr>
          <w:t xml:space="preserve">Sondage </w:t>
        </w:r>
        <w:proofErr w:type="spellStart"/>
        <w:r w:rsidR="00BC3345" w:rsidRPr="003028DD">
          <w:rPr>
            <w:rStyle w:val="Lienhypertexte"/>
          </w:rPr>
          <w:t>OpinionWay</w:t>
        </w:r>
        <w:proofErr w:type="spellEnd"/>
      </w:hyperlink>
      <w:r w:rsidR="00BC3345">
        <w:t xml:space="preserve"> pour Sidaction, décembre 2025. Le communiqué de presse et le kit media sont aussi disponible sur la page du </w:t>
      </w:r>
      <w:hyperlink r:id="rId46" w:history="1">
        <w:r w:rsidR="00BC3345" w:rsidRPr="003028DD">
          <w:rPr>
            <w:rStyle w:val="Lienhypertexte"/>
          </w:rPr>
          <w:t>Sidaction</w:t>
        </w:r>
      </w:hyperlink>
      <w:r w:rsidR="00BC3345">
        <w:t> ;</w:t>
      </w:r>
    </w:p>
    <w:p w14:paraId="4E3A06F5" w14:textId="77777777" w:rsidR="00BC3345" w:rsidRDefault="00BC3345" w:rsidP="006C0719">
      <w:pPr>
        <w:pStyle w:val="Encadrdocument"/>
        <w:numPr>
          <w:ilvl w:val="0"/>
          <w:numId w:val="5"/>
        </w:numPr>
      </w:pPr>
      <w:r>
        <w:t xml:space="preserve">Des </w:t>
      </w:r>
      <w:hyperlink r:id="rId47" w:history="1">
        <w:r w:rsidRPr="003028DD">
          <w:rPr>
            <w:rStyle w:val="Lienhypertexte"/>
          </w:rPr>
          <w:t>exemples de podcasts</w:t>
        </w:r>
      </w:hyperlink>
      <w:r>
        <w:t xml:space="preserve"> sur la page « Arrêtons les violences » ;</w:t>
      </w:r>
    </w:p>
    <w:p w14:paraId="2329C8CF" w14:textId="77777777" w:rsidR="00BC3345" w:rsidRDefault="00BC3345" w:rsidP="006C0719">
      <w:pPr>
        <w:pStyle w:val="Encadrdocument"/>
        <w:numPr>
          <w:ilvl w:val="0"/>
          <w:numId w:val="5"/>
        </w:numPr>
      </w:pPr>
      <w:r>
        <w:t xml:space="preserve">Centre </w:t>
      </w:r>
      <w:proofErr w:type="spellStart"/>
      <w:r>
        <w:t>Hubertine</w:t>
      </w:r>
      <w:proofErr w:type="spellEnd"/>
      <w:r>
        <w:t xml:space="preserve"> </w:t>
      </w:r>
      <w:proofErr w:type="spellStart"/>
      <w:r>
        <w:t>Auclert</w:t>
      </w:r>
      <w:proofErr w:type="spellEnd"/>
      <w:r>
        <w:t xml:space="preserve">, </w:t>
      </w:r>
      <w:hyperlink r:id="rId48" w:history="1">
        <w:r w:rsidRPr="00F15750">
          <w:rPr>
            <w:rStyle w:val="Lienhypertexte"/>
          </w:rPr>
          <w:t>« Gênant ? Surtout violent ! » : comprendre et agir contre les (cyber)violences de genre ! »</w:t>
        </w:r>
      </w:hyperlink>
      <w:r>
        <w:t>, novembre 2025.</w:t>
      </w:r>
    </w:p>
    <w:p w14:paraId="771D935A" w14:textId="4ACE6FB4" w:rsidR="00BC3345" w:rsidRDefault="00BC3345">
      <w:r>
        <w:br w:type="page"/>
      </w:r>
    </w:p>
    <w:p w14:paraId="57910F79" w14:textId="77777777" w:rsidR="00BC3345" w:rsidRDefault="00BC3345" w:rsidP="00BC3345">
      <w:pPr>
        <w:pStyle w:val="Titre1"/>
        <w:rPr>
          <w:rStyle w:val="Titre1Car"/>
        </w:rPr>
      </w:pPr>
      <w:r>
        <w:rPr>
          <w:rStyle w:val="Titre1Car"/>
        </w:rPr>
        <w:lastRenderedPageBreak/>
        <w:t>La République et la Nation</w:t>
      </w:r>
    </w:p>
    <w:p w14:paraId="348288F4" w14:textId="77777777" w:rsidR="00BC3345" w:rsidRDefault="00BC3345" w:rsidP="00BC3345">
      <w:pPr>
        <w:pStyle w:val="Titre2"/>
      </w:pPr>
      <w:bookmarkStart w:id="2" w:name="_Toc208922254"/>
      <w:r w:rsidRPr="00F62DD1">
        <w:t>Proposition de séquence :</w:t>
      </w:r>
      <w:r>
        <w:t xml:space="preserve"> construire l’unité en s’appuyant sur la diversité pour consolider les valeurs républicaines</w:t>
      </w:r>
      <w:bookmarkEnd w:id="2"/>
    </w:p>
    <w:p w14:paraId="6396712B" w14:textId="624BB454" w:rsidR="00BC3345" w:rsidRPr="009F0A7D" w:rsidRDefault="00BC3345" w:rsidP="009F0A7D">
      <w:pPr>
        <w:pStyle w:val="Titre3"/>
        <w:rPr>
          <w:rStyle w:val="Titre3Car"/>
          <w:b/>
        </w:rPr>
      </w:pPr>
      <w:bookmarkStart w:id="3" w:name="_Toc208922255"/>
      <w:r w:rsidRPr="009F0A7D">
        <w:rPr>
          <w:rStyle w:val="Titre3Car"/>
          <w:b/>
        </w:rPr>
        <w:t xml:space="preserve">Séance 1 : </w:t>
      </w:r>
      <w:r w:rsidR="009F0A7D">
        <w:rPr>
          <w:rStyle w:val="Titre3Car"/>
          <w:b/>
        </w:rPr>
        <w:t>l</w:t>
      </w:r>
      <w:r w:rsidRPr="009F0A7D">
        <w:rPr>
          <w:rStyle w:val="Titre3Car"/>
          <w:b/>
        </w:rPr>
        <w:t>a République française :  maintenir l’unité en tenant compte de la diversité [2h</w:t>
      </w:r>
      <w:bookmarkEnd w:id="3"/>
      <w:r w:rsidRPr="009F0A7D">
        <w:rPr>
          <w:rStyle w:val="Titre3Car"/>
          <w:b/>
        </w:rPr>
        <w:t>]</w:t>
      </w:r>
    </w:p>
    <w:p w14:paraId="5BE026AD" w14:textId="77777777" w:rsidR="00BC3345" w:rsidRDefault="00BC3345" w:rsidP="00BC3345">
      <w:pPr>
        <w:pStyle w:val="Titre4"/>
      </w:pPr>
      <w:r>
        <w:t>Activité 1 – Parle-moi de la République</w:t>
      </w:r>
    </w:p>
    <w:p w14:paraId="012FC731" w14:textId="77777777" w:rsidR="00BC3345" w:rsidRPr="00BC3345" w:rsidRDefault="00BC3345" w:rsidP="009F0A7D">
      <w:pPr>
        <w:pStyle w:val="Encadrdocumenttitre"/>
        <w:spacing w:before="100" w:after="120"/>
      </w:pPr>
      <w:r w:rsidRPr="00BC3345">
        <w:t>Document 1 - Définir l’indivisibilité de la République</w:t>
      </w:r>
    </w:p>
    <w:p w14:paraId="20F959BA" w14:textId="77777777" w:rsidR="00BC3345" w:rsidRDefault="00BC3345" w:rsidP="009F0A7D">
      <w:pPr>
        <w:pStyle w:val="Encadrdocumenttitre"/>
      </w:pPr>
      <w:r w:rsidRPr="00CE1FC4">
        <w:rPr>
          <w:noProof/>
          <w:lang w:eastAsia="fr-FR"/>
        </w:rPr>
        <w:drawing>
          <wp:inline distT="0" distB="0" distL="0" distR="0" wp14:anchorId="69C7E422" wp14:editId="3487DD1F">
            <wp:extent cx="4420217" cy="1476581"/>
            <wp:effectExtent l="0" t="0" r="0" b="9525"/>
            <wp:docPr id="1921719365"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19365" name="Image 1" descr="Une image contenant texte, capture d’écran, Police, algèbre&#10;&#10;Le contenu généré par l’IA peut être incorrect."/>
                    <pic:cNvPicPr/>
                  </pic:nvPicPr>
                  <pic:blipFill>
                    <a:blip r:embed="rId49"/>
                    <a:stretch>
                      <a:fillRect/>
                    </a:stretch>
                  </pic:blipFill>
                  <pic:spPr>
                    <a:xfrm>
                      <a:off x="0" y="0"/>
                      <a:ext cx="4420217" cy="1476581"/>
                    </a:xfrm>
                    <a:prstGeom prst="rect">
                      <a:avLst/>
                    </a:prstGeom>
                  </pic:spPr>
                </pic:pic>
              </a:graphicData>
            </a:graphic>
          </wp:inline>
        </w:drawing>
      </w:r>
    </w:p>
    <w:p w14:paraId="18F3ED85" w14:textId="1A4705D7" w:rsidR="00BC3345" w:rsidRDefault="00BC3345" w:rsidP="00BC3345">
      <w:pPr>
        <w:pStyle w:val="Encadrdocument"/>
        <w:rPr>
          <w:rStyle w:val="Lienhypertexte"/>
          <w:b/>
          <w:bCs w:val="0"/>
          <w:szCs w:val="20"/>
        </w:rPr>
      </w:pPr>
      <w:r>
        <w:rPr>
          <w:szCs w:val="20"/>
        </w:rPr>
        <w:t xml:space="preserve">Source : </w:t>
      </w:r>
      <w:hyperlink r:id="rId50" w:history="1">
        <w:r w:rsidR="009F0A7D" w:rsidRPr="009F0A7D">
          <w:rPr>
            <w:rStyle w:val="Lienhypertexte"/>
            <w:szCs w:val="20"/>
          </w:rPr>
          <w:t>conseil-constitutionnel.fr</w:t>
        </w:r>
      </w:hyperlink>
      <w:r w:rsidR="009F0A7D">
        <w:rPr>
          <w:rStyle w:val="Lienhypertexte"/>
          <w:b/>
          <w:bCs w:val="0"/>
          <w:szCs w:val="20"/>
        </w:rPr>
        <w:t xml:space="preserve"> </w:t>
      </w:r>
    </w:p>
    <w:p w14:paraId="50680876" w14:textId="77777777" w:rsidR="00BC3345" w:rsidRPr="00CE1FC4" w:rsidRDefault="00BC3345" w:rsidP="00BC3345">
      <w:pPr>
        <w:pStyle w:val="Encadrdocument"/>
        <w:rPr>
          <w:b/>
          <w:szCs w:val="20"/>
        </w:rPr>
      </w:pPr>
      <w:r>
        <w:t>« </w:t>
      </w:r>
      <w:r w:rsidRPr="00166BC2">
        <w:t>Elle signifie l’unité du pouvoir politique : la France forme une Nation dans laquelle aucun individu (ou groupe) ne peut s’attribuer ce pouvoir. La souveraineté appartient au peuple.</w:t>
      </w:r>
      <w:r>
        <w:t xml:space="preserve"> </w:t>
      </w:r>
      <w:r w:rsidRPr="00166BC2">
        <w:t>Ce principe d’indivisibilité garantit que les lois sont appliquées de la même manière pour tous les citoyens sur tout le territoire (métropole et outre-mer)</w:t>
      </w:r>
      <w:r>
        <w:t> »</w:t>
      </w:r>
    </w:p>
    <w:p w14:paraId="421980D1" w14:textId="20BD87B2" w:rsidR="00BC3345" w:rsidRPr="00CE1FC4" w:rsidRDefault="00BC3345" w:rsidP="00BC3345">
      <w:pPr>
        <w:pStyle w:val="Encadrdocument"/>
      </w:pPr>
      <w:r>
        <w:t>Source :</w:t>
      </w:r>
      <w:r w:rsidR="009F0A7D">
        <w:t xml:space="preserve"> </w:t>
      </w:r>
      <w:hyperlink r:id="rId51" w:history="1">
        <w:r w:rsidR="009F0A7D" w:rsidRPr="009F0A7D">
          <w:rPr>
            <w:rStyle w:val="Lienhypertexte"/>
          </w:rPr>
          <w:t>decouvronsnotreconstitution.fr</w:t>
        </w:r>
      </w:hyperlink>
      <w:r w:rsidR="009F0A7D" w:rsidRPr="00CE1FC4">
        <w:t xml:space="preserve"> </w:t>
      </w:r>
    </w:p>
    <w:p w14:paraId="41319A7B" w14:textId="77777777" w:rsidR="00BC3345" w:rsidRDefault="00BC3345" w:rsidP="009F0A7D">
      <w:pPr>
        <w:pStyle w:val="Encadrdocumenttitre"/>
        <w:spacing w:before="100"/>
        <w:rPr>
          <w:bCs/>
        </w:rPr>
      </w:pPr>
      <w:r w:rsidRPr="00E64CE2">
        <w:t xml:space="preserve">Document </w:t>
      </w:r>
      <w:r>
        <w:t>2 – Article 2 de la Constitution de 1958</w:t>
      </w:r>
    </w:p>
    <w:p w14:paraId="270032BB" w14:textId="77777777" w:rsidR="00BC3345" w:rsidRDefault="00BC3345" w:rsidP="00BC3345">
      <w:pPr>
        <w:pStyle w:val="Encadrdocument"/>
        <w:rPr>
          <w:b/>
          <w:bCs w:val="0"/>
        </w:rPr>
      </w:pPr>
      <w:r w:rsidRPr="006C4FAD">
        <w:rPr>
          <w:noProof/>
          <w:lang w:eastAsia="fr-FR"/>
        </w:rPr>
        <w:drawing>
          <wp:inline distT="0" distB="0" distL="0" distR="0" wp14:anchorId="5B3AAFE6" wp14:editId="757AE8E3">
            <wp:extent cx="3864634" cy="1830149"/>
            <wp:effectExtent l="0" t="0" r="0" b="0"/>
            <wp:docPr id="1861062971"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62971" name="Image 1" descr="Une image contenant texte, capture d’écran, Police, algèbre&#10;&#10;Le contenu généré par l’IA peut être incorrect."/>
                    <pic:cNvPicPr/>
                  </pic:nvPicPr>
                  <pic:blipFill>
                    <a:blip r:embed="rId52"/>
                    <a:stretch>
                      <a:fillRect/>
                    </a:stretch>
                  </pic:blipFill>
                  <pic:spPr>
                    <a:xfrm>
                      <a:off x="0" y="0"/>
                      <a:ext cx="3871288" cy="1833300"/>
                    </a:xfrm>
                    <a:prstGeom prst="rect">
                      <a:avLst/>
                    </a:prstGeom>
                  </pic:spPr>
                </pic:pic>
              </a:graphicData>
            </a:graphic>
          </wp:inline>
        </w:drawing>
      </w:r>
    </w:p>
    <w:p w14:paraId="4DA705CD" w14:textId="5276358A" w:rsidR="00BC3345" w:rsidRDefault="00BC3345" w:rsidP="00BC3345">
      <w:pPr>
        <w:pStyle w:val="Encadrdocument"/>
      </w:pPr>
      <w:r>
        <w:t xml:space="preserve">Source : </w:t>
      </w:r>
      <w:hyperlink r:id="rId53" w:history="1">
        <w:r w:rsidR="009F0A7D" w:rsidRPr="009F0A7D">
          <w:rPr>
            <w:rStyle w:val="Lienhypertexte"/>
          </w:rPr>
          <w:t>conseil-constitutionnel.fr</w:t>
        </w:r>
      </w:hyperlink>
      <w:r w:rsidR="009F0A7D">
        <w:t xml:space="preserve"> </w:t>
      </w:r>
    </w:p>
    <w:p w14:paraId="74587B20" w14:textId="77777777" w:rsidR="00BC3345" w:rsidRDefault="00BC3345" w:rsidP="009F0A7D">
      <w:pPr>
        <w:pStyle w:val="Encadrdocumenttitre"/>
        <w:spacing w:before="100" w:after="120"/>
        <w:rPr>
          <w:bCs/>
        </w:rPr>
      </w:pPr>
      <w:r w:rsidRPr="00E64CE2">
        <w:t xml:space="preserve">Document </w:t>
      </w:r>
      <w:r>
        <w:t>3</w:t>
      </w:r>
      <w:r w:rsidRPr="00E64CE2">
        <w:t xml:space="preserve"> – </w:t>
      </w:r>
      <w:r w:rsidRPr="00391474">
        <w:t>Promouvoir les langues de France – site du Ministère de la Culture</w:t>
      </w:r>
    </w:p>
    <w:p w14:paraId="017881BA" w14:textId="008E00DD" w:rsidR="00BC3345" w:rsidRPr="00F62DD1" w:rsidRDefault="00BC3345" w:rsidP="009F0A7D">
      <w:pPr>
        <w:pStyle w:val="Encadrdocument"/>
      </w:pPr>
      <w:r w:rsidRPr="00F62DD1">
        <w:t xml:space="preserve">Source : </w:t>
      </w:r>
      <w:hyperlink r:id="rId54" w:history="1">
        <w:r w:rsidR="009F0A7D" w:rsidRPr="009F0A7D">
          <w:rPr>
            <w:rStyle w:val="Lienhypertexte"/>
          </w:rPr>
          <w:t>culture.gouv.fr</w:t>
        </w:r>
      </w:hyperlink>
      <w:r w:rsidR="009F0A7D" w:rsidRPr="00F62DD1">
        <w:t xml:space="preserve"> </w:t>
      </w:r>
    </w:p>
    <w:p w14:paraId="59986F23" w14:textId="52F69111" w:rsidR="00BC3345" w:rsidRPr="00391474" w:rsidRDefault="00BC3345" w:rsidP="00BC3345">
      <w:pPr>
        <w:pStyle w:val="Encadrdocumenttitre"/>
      </w:pPr>
      <w:r w:rsidRPr="00E64CE2">
        <w:t xml:space="preserve">Document </w:t>
      </w:r>
      <w:r>
        <w:t>4</w:t>
      </w:r>
      <w:r w:rsidRPr="00E64CE2">
        <w:t xml:space="preserve"> </w:t>
      </w:r>
      <w:r>
        <w:t>–</w:t>
      </w:r>
      <w:r w:rsidRPr="00E64CE2">
        <w:t xml:space="preserve"> </w:t>
      </w:r>
      <w:r w:rsidRPr="00391474">
        <w:t xml:space="preserve">Au source du créole – Vidéo </w:t>
      </w:r>
      <w:proofErr w:type="spellStart"/>
      <w:r w:rsidRPr="00391474">
        <w:t>Décod’Actu</w:t>
      </w:r>
      <w:proofErr w:type="spellEnd"/>
      <w:r w:rsidRPr="00391474">
        <w:t xml:space="preserve"> disponible sur </w:t>
      </w:r>
      <w:proofErr w:type="spellStart"/>
      <w:r w:rsidRPr="00391474">
        <w:t>Lumni</w:t>
      </w:r>
      <w:proofErr w:type="spellEnd"/>
      <w:r>
        <w:t xml:space="preserve"> enseignement</w:t>
      </w:r>
    </w:p>
    <w:p w14:paraId="47EC89CA" w14:textId="77777777" w:rsidR="00BC3345" w:rsidRPr="00391474" w:rsidRDefault="00BC3345" w:rsidP="00BC3345">
      <w:pPr>
        <w:pStyle w:val="Encadrdocument"/>
      </w:pPr>
      <w:r w:rsidRPr="00391474">
        <w:t>La France compte une vingtaine de langues régionales dans l’Hexagone et une cinquantaine dans les territoires d’Outre-mer. La langue régionale la plus parlée en France est le créole, avec plus d’1,6 million de locuteurs. Mais il faut parler de créoles, au pluriel, car il en existe plusieurs.</w:t>
      </w:r>
    </w:p>
    <w:p w14:paraId="2ECC2C2F" w14:textId="7275EA73" w:rsidR="00BC3345" w:rsidRDefault="009F0A7D" w:rsidP="00BC3345">
      <w:pPr>
        <w:pStyle w:val="Encadrdocument"/>
      </w:pPr>
      <w:r w:rsidRPr="00F62DD1">
        <w:lastRenderedPageBreak/>
        <w:t>Source :</w:t>
      </w:r>
      <w:r>
        <w:t xml:space="preserve"> </w:t>
      </w:r>
      <w:hyperlink r:id="rId55" w:history="1">
        <w:r w:rsidRPr="009F0A7D">
          <w:rPr>
            <w:rStyle w:val="Lienhypertexte"/>
          </w:rPr>
          <w:t>enseignants.lumni.fr</w:t>
        </w:r>
      </w:hyperlink>
    </w:p>
    <w:p w14:paraId="599D1E8F" w14:textId="77777777" w:rsidR="00BC3345" w:rsidRDefault="00BC3345" w:rsidP="00BC3345">
      <w:pPr>
        <w:pStyle w:val="Titre4"/>
      </w:pPr>
      <w:r>
        <w:t>Activité 2 – Prendre en compte la diversité des territoires – les lois de décentralisation</w:t>
      </w:r>
    </w:p>
    <w:p w14:paraId="6AEFE881" w14:textId="77777777" w:rsidR="00BC3345" w:rsidRPr="00BC3345" w:rsidRDefault="00BC3345" w:rsidP="00BC3345">
      <w:pPr>
        <w:pStyle w:val="Encadrdocumenttitre"/>
      </w:pPr>
      <w:r w:rsidRPr="00BC3345">
        <w:t>Document 1 – Qu’est-ce que la décentralisation ? (</w:t>
      </w:r>
      <w:proofErr w:type="gramStart"/>
      <w:r w:rsidRPr="00BC3345">
        <w:t>territoriale</w:t>
      </w:r>
      <w:proofErr w:type="gramEnd"/>
      <w:r w:rsidRPr="00BC3345">
        <w:t>)</w:t>
      </w:r>
    </w:p>
    <w:p w14:paraId="10B798DF" w14:textId="77777777" w:rsidR="00BC3345" w:rsidRPr="008F7FA7" w:rsidRDefault="00BC3345" w:rsidP="00BC3345">
      <w:pPr>
        <w:pStyle w:val="Encadrdocument"/>
      </w:pPr>
      <w:r w:rsidRPr="008F7FA7">
        <w:t>À partir de 1982, la France a connu d'importantes modifications dans son organisation territoriale. Partant d'un fonctionnement très centralisé, la France a engagé un vaste mouvement de décentralisation au profit des collectivités territoriales.</w:t>
      </w:r>
    </w:p>
    <w:p w14:paraId="6E706E2A" w14:textId="2FAFAEF9" w:rsidR="00BC3345" w:rsidRPr="009F0A7D" w:rsidRDefault="00BC3345" w:rsidP="009F0A7D">
      <w:pPr>
        <w:pStyle w:val="Encadrdocument"/>
      </w:pPr>
      <w:r w:rsidRPr="009F0A7D">
        <w:t xml:space="preserve">Source : </w:t>
      </w:r>
      <w:hyperlink r:id="rId56" w:history="1">
        <w:r w:rsidR="009F0A7D" w:rsidRPr="009F0A7D">
          <w:rPr>
            <w:rStyle w:val="Lienhypertexte"/>
          </w:rPr>
          <w:t>vie-publique.fr</w:t>
        </w:r>
      </w:hyperlink>
      <w:r w:rsidR="009F0A7D" w:rsidRPr="009F0A7D">
        <w:t xml:space="preserve"> </w:t>
      </w:r>
    </w:p>
    <w:p w14:paraId="1310739F" w14:textId="77777777" w:rsidR="00BC3345" w:rsidRPr="00391474" w:rsidRDefault="00BC3345" w:rsidP="009F0A7D">
      <w:pPr>
        <w:pStyle w:val="Encadrdocumenttitre"/>
        <w:spacing w:before="100" w:after="100"/>
      </w:pPr>
      <w:r w:rsidRPr="00E64CE2">
        <w:t xml:space="preserve">Document </w:t>
      </w:r>
      <w:r>
        <w:t xml:space="preserve">2 </w:t>
      </w:r>
      <w:r w:rsidRPr="00391474">
        <w:t>– Les collectivités locales, actrices majeures de la mise en œuvre de politiques publiques</w:t>
      </w:r>
    </w:p>
    <w:p w14:paraId="793053DB" w14:textId="77777777" w:rsidR="00BC3345" w:rsidRPr="00391474" w:rsidRDefault="00BC3345" w:rsidP="00BC3345">
      <w:pPr>
        <w:pStyle w:val="Encadrdocument"/>
      </w:pPr>
      <w:r w:rsidRPr="00391474">
        <w:t>Avec la décentralisation, chacune de ces collectivités a des compétences propres qui lui ont été transférées par l’État. Elles ont leurs institutions et leurs élus, elles n’appliquent pas simplement les décisions de l’État mais font pleinement partie de notre démocratie en faisant exister une démocratie locale</w:t>
      </w:r>
    </w:p>
    <w:p w14:paraId="4E0DE222" w14:textId="667B5D50" w:rsidR="00BC3345" w:rsidRDefault="00BC3345" w:rsidP="00BC3345">
      <w:pPr>
        <w:pStyle w:val="Encadrdocument"/>
      </w:pPr>
      <w:r>
        <w:t xml:space="preserve">Source : </w:t>
      </w:r>
      <w:hyperlink r:id="rId57" w:history="1">
        <w:r w:rsidR="009F0A7D" w:rsidRPr="009F0A7D">
          <w:rPr>
            <w:rStyle w:val="Lienhypertexte"/>
          </w:rPr>
          <w:t>oxfamfrance.org</w:t>
        </w:r>
      </w:hyperlink>
    </w:p>
    <w:p w14:paraId="40E3C9DF" w14:textId="77777777" w:rsidR="00BC3345" w:rsidRPr="00391474" w:rsidRDefault="00BC3345" w:rsidP="009F0A7D">
      <w:pPr>
        <w:pStyle w:val="Encadrdocumenttitre"/>
        <w:spacing w:before="100" w:after="120"/>
        <w:rPr>
          <w:bCs/>
        </w:rPr>
      </w:pPr>
      <w:r w:rsidRPr="00E64CE2">
        <w:t xml:space="preserve">Document </w:t>
      </w:r>
      <w:r>
        <w:t>3</w:t>
      </w:r>
      <w:r w:rsidRPr="00E64CE2">
        <w:t xml:space="preserve"> – </w:t>
      </w:r>
      <w:r w:rsidRPr="00391474">
        <w:t xml:space="preserve">p.7 – Schéma n°1 : Les grandes étapes de la décentralisation depuis la Révolution - </w:t>
      </w:r>
    </w:p>
    <w:p w14:paraId="7DC43C0F" w14:textId="589F382F" w:rsidR="00BC3345" w:rsidRPr="009F0A7D" w:rsidRDefault="00BC3345" w:rsidP="009F0A7D">
      <w:pPr>
        <w:pStyle w:val="Encadrdocument"/>
      </w:pPr>
      <w:r w:rsidRPr="009F0A7D">
        <w:t xml:space="preserve">Source : </w:t>
      </w:r>
      <w:hyperlink r:id="rId58" w:history="1">
        <w:r w:rsidR="009F0A7D" w:rsidRPr="009F0A7D">
          <w:rPr>
            <w:rStyle w:val="Lienhypertexte"/>
          </w:rPr>
          <w:t>ccomptes.fr</w:t>
        </w:r>
      </w:hyperlink>
      <w:r w:rsidR="009F0A7D" w:rsidRPr="009F0A7D">
        <w:t xml:space="preserve"> </w:t>
      </w:r>
    </w:p>
    <w:p w14:paraId="18825F4F" w14:textId="77777777" w:rsidR="00BC3345" w:rsidRPr="00391474" w:rsidRDefault="00BC3345" w:rsidP="009F0A7D">
      <w:pPr>
        <w:pStyle w:val="Encadrdocumenttitre"/>
        <w:spacing w:before="100" w:after="120"/>
      </w:pPr>
      <w:r w:rsidRPr="006825AA">
        <w:t xml:space="preserve">Document </w:t>
      </w:r>
      <w:r>
        <w:t>4</w:t>
      </w:r>
      <w:r w:rsidRPr="006825AA">
        <w:t xml:space="preserve"> - </w:t>
      </w:r>
      <w:r w:rsidRPr="00391474">
        <w:t>Le rôle des collectivités territoriales dans le service public de l’Éducation</w:t>
      </w:r>
    </w:p>
    <w:p w14:paraId="5C8F175D" w14:textId="5E8A2561" w:rsidR="00BC3345" w:rsidRDefault="00BC3345" w:rsidP="00BC3345">
      <w:pPr>
        <w:pStyle w:val="Encadrdocument"/>
      </w:pPr>
      <w:r>
        <w:t xml:space="preserve">Source : </w:t>
      </w:r>
      <w:hyperlink r:id="rId59" w:history="1">
        <w:r w:rsidR="009F0A7D" w:rsidRPr="009F0A7D">
          <w:rPr>
            <w:rStyle w:val="Lienhypertexte"/>
          </w:rPr>
          <w:t>education.gouv.fr</w:t>
        </w:r>
      </w:hyperlink>
    </w:p>
    <w:p w14:paraId="3D1BEE74" w14:textId="77777777" w:rsidR="00BC3345" w:rsidRDefault="00BC3345" w:rsidP="00BC3345">
      <w:pPr>
        <w:pStyle w:val="Titre4"/>
      </w:pPr>
      <w:r>
        <w:t>Activité 3 – Les Outre-mer – une place singulière dans le tableau républicain</w:t>
      </w:r>
    </w:p>
    <w:p w14:paraId="0A11BFAF" w14:textId="77777777" w:rsidR="00BC3345" w:rsidRDefault="00BC3345" w:rsidP="00BC3345">
      <w:pPr>
        <w:pStyle w:val="Encadrdocumenttitre"/>
      </w:pPr>
      <w:r w:rsidRPr="00391474">
        <w:t>Document 1 –</w:t>
      </w:r>
      <w:r>
        <w:t xml:space="preserve"> article 72-3 de la Constitution</w:t>
      </w:r>
    </w:p>
    <w:p w14:paraId="65F35F55" w14:textId="77777777" w:rsidR="00BC3345" w:rsidRDefault="00BC3345" w:rsidP="00BC3345">
      <w:pPr>
        <w:pStyle w:val="Encadrdocument"/>
      </w:pPr>
      <w:r>
        <w:t>La République reconnait au sein du peuple français, les populations d’outre-mer, dans un idéal commun de liberté, d’égalité et de fraternité.</w:t>
      </w:r>
    </w:p>
    <w:p w14:paraId="449D3A03" w14:textId="77777777" w:rsidR="00BC3345" w:rsidRDefault="00BC3345" w:rsidP="00BC3345">
      <w:pPr>
        <w:pStyle w:val="Encadrdocument"/>
      </w:pPr>
      <w:r>
        <w:t>La Guadeloupe, la Guyane, la Martinique, la Réunion, Mayotte, Saint-Barthélemy, Saint-Martin, Saint-Pierre-et-Miquelon, les îles Wallis et Futuna et la Polynésie française sont régis par l’article 73 pour les départements et les régions d’outre-mer et pour les collectivités territoriales créées en application du dernier alinéa de l’article 73, et par l’article 74 pour les autres collectivités.</w:t>
      </w:r>
    </w:p>
    <w:p w14:paraId="5EC761C6" w14:textId="77777777" w:rsidR="00BC3345" w:rsidRDefault="00BC3345" w:rsidP="00BC3345">
      <w:pPr>
        <w:pStyle w:val="Encadrdocument"/>
      </w:pPr>
      <w:r>
        <w:t>Le statut de la Nouvelle-Calédonie est régi par le titre XIII.</w:t>
      </w:r>
    </w:p>
    <w:p w14:paraId="21FEDD38" w14:textId="77777777" w:rsidR="00BC3345" w:rsidRDefault="00BC3345" w:rsidP="00BC3345">
      <w:pPr>
        <w:pStyle w:val="Encadrdocument"/>
      </w:pPr>
      <w:r>
        <w:t>La loi détermine le régime législatif et l’organisation particulière des Terres Australes et Antarctiques Françaises et de Clipperton.</w:t>
      </w:r>
    </w:p>
    <w:p w14:paraId="49798396" w14:textId="1D23F9A8" w:rsidR="00BC3345" w:rsidRPr="000B683F" w:rsidRDefault="00BC3345" w:rsidP="00BC3345">
      <w:pPr>
        <w:pStyle w:val="Encadrdocument"/>
      </w:pPr>
      <w:r w:rsidRPr="000B683F">
        <w:t xml:space="preserve">Source : </w:t>
      </w:r>
      <w:hyperlink r:id="rId60" w:history="1">
        <w:r w:rsidR="00DB7573" w:rsidRPr="00DB7573">
          <w:rPr>
            <w:rStyle w:val="Lienhypertexte"/>
          </w:rPr>
          <w:t>legifrance.gouv.fr</w:t>
        </w:r>
      </w:hyperlink>
      <w:r>
        <w:rPr>
          <w:rStyle w:val="Lienhypertexte"/>
        </w:rPr>
        <w:t xml:space="preserve"> </w:t>
      </w:r>
    </w:p>
    <w:p w14:paraId="58EA8906" w14:textId="77777777" w:rsidR="00BC3345" w:rsidRDefault="00BC3345" w:rsidP="00DB7573">
      <w:pPr>
        <w:pStyle w:val="Encadrdocumenttitre"/>
        <w:spacing w:before="100" w:after="120"/>
      </w:pPr>
      <w:r w:rsidRPr="00E64CE2">
        <w:t xml:space="preserve">Document </w:t>
      </w:r>
      <w:r>
        <w:t xml:space="preserve">2 </w:t>
      </w:r>
      <w:r w:rsidRPr="00391474">
        <w:t xml:space="preserve">– Extraits de l’émission d’Arte </w:t>
      </w:r>
      <w:r w:rsidRPr="00391474">
        <w:rPr>
          <w:i/>
          <w:iCs/>
        </w:rPr>
        <w:t>Le Dessous des Cartes</w:t>
      </w:r>
      <w:r w:rsidRPr="00391474">
        <w:t>, « </w:t>
      </w:r>
      <w:hyperlink r:id="rId61" w:history="1">
        <w:r w:rsidRPr="00635D01">
          <w:rPr>
            <w:rStyle w:val="Lienhypertexte"/>
          </w:rPr>
          <w:t>La France et ses Outre-mer : des territoires complexes</w:t>
        </w:r>
      </w:hyperlink>
      <w:r w:rsidRPr="00391474">
        <w:t> »</w:t>
      </w:r>
    </w:p>
    <w:p w14:paraId="38978DC9" w14:textId="77777777" w:rsidR="00BC3345" w:rsidRPr="007D678D" w:rsidRDefault="00BC3345" w:rsidP="00DB7573">
      <w:pPr>
        <w:pStyle w:val="Encadrdocument"/>
        <w:ind w:firstLine="538"/>
        <w:rPr>
          <w:b/>
        </w:rPr>
      </w:pPr>
      <w:proofErr w:type="gramStart"/>
      <w:r w:rsidRPr="007D678D">
        <w:rPr>
          <w:b/>
        </w:rPr>
        <w:t>du</w:t>
      </w:r>
      <w:proofErr w:type="gramEnd"/>
      <w:r w:rsidRPr="007D678D">
        <w:rPr>
          <w:b/>
        </w:rPr>
        <w:t xml:space="preserve"> début à 2’50 = </w:t>
      </w:r>
      <w:r w:rsidRPr="00391474">
        <w:rPr>
          <w:bCs w:val="0"/>
        </w:rPr>
        <w:t>différents statuts et localisation</w:t>
      </w:r>
    </w:p>
    <w:p w14:paraId="2927335C" w14:textId="77777777" w:rsidR="00BC3345" w:rsidRPr="007D678D" w:rsidRDefault="00BC3345" w:rsidP="00DB7573">
      <w:pPr>
        <w:pStyle w:val="Encadrdocument"/>
        <w:ind w:firstLine="538"/>
        <w:rPr>
          <w:b/>
        </w:rPr>
      </w:pPr>
      <w:proofErr w:type="gramStart"/>
      <w:r w:rsidRPr="007D678D">
        <w:rPr>
          <w:b/>
        </w:rPr>
        <w:t>de</w:t>
      </w:r>
      <w:proofErr w:type="gramEnd"/>
      <w:r w:rsidRPr="007D678D">
        <w:rPr>
          <w:b/>
        </w:rPr>
        <w:t xml:space="preserve"> 6’46 à 9’28 = </w:t>
      </w:r>
      <w:r w:rsidRPr="00391474">
        <w:rPr>
          <w:bCs w:val="0"/>
        </w:rPr>
        <w:t>des inégalités en lien avec son passé colonial</w:t>
      </w:r>
    </w:p>
    <w:p w14:paraId="320E646C" w14:textId="77777777" w:rsidR="00BC3345" w:rsidRPr="00391474" w:rsidRDefault="00BC3345" w:rsidP="00DB7573">
      <w:pPr>
        <w:pStyle w:val="Encadrdocumenttitre"/>
        <w:spacing w:before="100" w:after="100"/>
      </w:pPr>
      <w:r w:rsidRPr="00391474">
        <w:t>Document 3</w:t>
      </w:r>
      <w:r>
        <w:t xml:space="preserve"> </w:t>
      </w:r>
      <w:r w:rsidRPr="000B683F">
        <w:t xml:space="preserve">– </w:t>
      </w:r>
      <w:r w:rsidRPr="00391474">
        <w:t>Présentation générale des Outre-mer</w:t>
      </w:r>
    </w:p>
    <w:p w14:paraId="6D2F58F3" w14:textId="77777777" w:rsidR="00BC3345" w:rsidRPr="00AA738D" w:rsidRDefault="00BC3345" w:rsidP="00BC3345">
      <w:pPr>
        <w:pStyle w:val="Encadrdocument"/>
      </w:pPr>
      <w:r w:rsidRPr="00AA738D">
        <w:t xml:space="preserve">Les outre-mer, ce sont </w:t>
      </w:r>
      <w:r w:rsidRPr="00AA738D">
        <w:rPr>
          <w:b/>
        </w:rPr>
        <w:t>12 territoires</w:t>
      </w:r>
      <w:r w:rsidRPr="00AA738D">
        <w:t xml:space="preserve"> avec des statuts juridiques différents :</w:t>
      </w:r>
    </w:p>
    <w:p w14:paraId="4C745AB0" w14:textId="77777777" w:rsidR="00BC3345" w:rsidRPr="00AA738D" w:rsidRDefault="00BC3345" w:rsidP="00BC3345">
      <w:pPr>
        <w:pStyle w:val="Encadrdocument"/>
      </w:pPr>
      <w:r w:rsidRPr="00AA738D">
        <w:t>2 départements et régions d'outre-mer (DROM) : </w:t>
      </w:r>
      <w:hyperlink r:id="rId62" w:tgtFrame="_blank" w:tooltip="Guadeloupe - site du Ministère des Outre-Mer" w:history="1">
        <w:r w:rsidRPr="00AA738D">
          <w:rPr>
            <w:rStyle w:val="Lienhypertexte"/>
          </w:rPr>
          <w:t>la Guadeloupe</w:t>
        </w:r>
      </w:hyperlink>
      <w:r w:rsidRPr="00AA738D">
        <w:t> et </w:t>
      </w:r>
      <w:hyperlink r:id="rId63" w:tgtFrame="_blank" w:tooltip="La Réunion - site du Ministère des Outre-Mer" w:history="1">
        <w:r w:rsidRPr="00AA738D">
          <w:rPr>
            <w:rStyle w:val="Lienhypertexte"/>
          </w:rPr>
          <w:t>La Réunion</w:t>
        </w:r>
      </w:hyperlink>
      <w:r w:rsidRPr="00AA738D">
        <w:t> ;</w:t>
      </w:r>
    </w:p>
    <w:p w14:paraId="26C7E7E2" w14:textId="77777777" w:rsidR="00BC3345" w:rsidRPr="00AA738D" w:rsidRDefault="00BC3345" w:rsidP="00BC3345">
      <w:pPr>
        <w:pStyle w:val="Encadrdocument"/>
      </w:pPr>
      <w:r w:rsidRPr="00AA738D">
        <w:lastRenderedPageBreak/>
        <w:t xml:space="preserve">3 collectivités uniques : la Collectivité Territoriale de </w:t>
      </w:r>
      <w:hyperlink r:id="rId64" w:tgtFrame="_blank" w:tooltip="Martinique - site du Ministère des Outre-Mer" w:history="1">
        <w:r w:rsidRPr="00AA738D">
          <w:rPr>
            <w:rStyle w:val="Lienhypertexte"/>
          </w:rPr>
          <w:t>Martinique</w:t>
        </w:r>
      </w:hyperlink>
      <w:r w:rsidRPr="00AA738D">
        <w:t xml:space="preserve">, la Collectivité Territoriale de </w:t>
      </w:r>
      <w:hyperlink r:id="rId65" w:tgtFrame="_blank" w:tooltip="Guyane - site du Ministère des Outre-Mer" w:history="1">
        <w:r w:rsidRPr="00AA738D">
          <w:rPr>
            <w:rStyle w:val="Lienhypertexte"/>
          </w:rPr>
          <w:t>Guyane</w:t>
        </w:r>
      </w:hyperlink>
      <w:r w:rsidRPr="00AA738D">
        <w:t xml:space="preserve"> et le Département de </w:t>
      </w:r>
      <w:hyperlink r:id="rId66" w:tgtFrame="_blank" w:tooltip="Mayotte - site du Ministère des Outre-Mer" w:history="1">
        <w:r w:rsidRPr="00AA738D">
          <w:rPr>
            <w:rStyle w:val="Lienhypertexte"/>
          </w:rPr>
          <w:t>Mayotte</w:t>
        </w:r>
      </w:hyperlink>
      <w:r w:rsidRPr="00AA738D">
        <w:t> ;</w:t>
      </w:r>
    </w:p>
    <w:p w14:paraId="5E1789B0" w14:textId="77777777" w:rsidR="00BC3345" w:rsidRPr="00AA738D" w:rsidRDefault="00BC3345" w:rsidP="00BC3345">
      <w:pPr>
        <w:pStyle w:val="Encadrdocument"/>
      </w:pPr>
      <w:r w:rsidRPr="00AA738D">
        <w:t xml:space="preserve">6 collectivités d'outre-mer (COM) : </w:t>
      </w:r>
      <w:hyperlink r:id="rId67" w:tgtFrame="_blank" w:tooltip="Polynésie française - site du Ministère des Outre-Mer" w:history="1">
        <w:r w:rsidRPr="00AA738D">
          <w:rPr>
            <w:rStyle w:val="Lienhypertexte"/>
          </w:rPr>
          <w:t>la Polynésie française</w:t>
        </w:r>
      </w:hyperlink>
      <w:r w:rsidRPr="00AA738D">
        <w:t xml:space="preserve"> ; </w:t>
      </w:r>
      <w:hyperlink r:id="rId68" w:tgtFrame="_blank" w:tooltip="Saint-Barthélemy - site du Ministère des Outre-Mer" w:history="1">
        <w:r w:rsidRPr="00AA738D">
          <w:rPr>
            <w:rStyle w:val="Lienhypertexte"/>
          </w:rPr>
          <w:t>Saint-Barthélemy</w:t>
        </w:r>
      </w:hyperlink>
      <w:r w:rsidRPr="00AA738D">
        <w:t xml:space="preserve"> ; </w:t>
      </w:r>
      <w:hyperlink r:id="rId69" w:tgtFrame="_blank" w:tooltip="Saint-Martin - site du Ministère des Outre-Mer" w:history="1">
        <w:r w:rsidRPr="00AA738D">
          <w:rPr>
            <w:rStyle w:val="Lienhypertexte"/>
          </w:rPr>
          <w:t>Saint-Martin</w:t>
        </w:r>
      </w:hyperlink>
      <w:r w:rsidRPr="00AA738D">
        <w:t xml:space="preserve"> ; </w:t>
      </w:r>
      <w:hyperlink r:id="rId70" w:tgtFrame="_blank" w:tooltip="Saint-Pierre-et-Miquelon - site du Ministère des Outre-Mer" w:history="1">
        <w:r w:rsidRPr="00AA738D">
          <w:rPr>
            <w:rStyle w:val="Lienhypertexte"/>
          </w:rPr>
          <w:t>Saint-Pierre-et-Miquelon</w:t>
        </w:r>
      </w:hyperlink>
      <w:r w:rsidRPr="00AA738D">
        <w:t xml:space="preserve"> ; </w:t>
      </w:r>
      <w:hyperlink r:id="rId71" w:tgtFrame="_blank" w:tooltip="TAAF - site du Ministère des Outre-Mer" w:history="1">
        <w:r w:rsidRPr="00AA738D">
          <w:rPr>
            <w:rStyle w:val="Lienhypertexte"/>
          </w:rPr>
          <w:t>les Terres-australes-et-antarctiques-françaises</w:t>
        </w:r>
      </w:hyperlink>
      <w:r w:rsidRPr="00AA738D">
        <w:t xml:space="preserve"> et </w:t>
      </w:r>
      <w:hyperlink r:id="rId72" w:tgtFrame="_blank" w:tooltip="Wallis et Futuna - site du Ministère des Outre-Mer" w:history="1">
        <w:r w:rsidRPr="00AA738D">
          <w:rPr>
            <w:rStyle w:val="Lienhypertexte"/>
          </w:rPr>
          <w:t>Wallis-et-Futuna</w:t>
        </w:r>
      </w:hyperlink>
      <w:r w:rsidRPr="00AA738D">
        <w:t xml:space="preserve"> ;</w:t>
      </w:r>
    </w:p>
    <w:p w14:paraId="480A14CE" w14:textId="77777777" w:rsidR="00BC3345" w:rsidRDefault="00176B32" w:rsidP="00BC3345">
      <w:pPr>
        <w:pStyle w:val="Encadrdocument"/>
      </w:pPr>
      <w:hyperlink r:id="rId73" w:tgtFrame="_blank" w:tooltip="Nouvelle-Calédonie - site du Ministère des Outre-Mer" w:history="1">
        <w:r w:rsidR="00BC3345" w:rsidRPr="00AA738D">
          <w:rPr>
            <w:rStyle w:val="Lienhypertexte"/>
          </w:rPr>
          <w:t>La Nouvelle-Calédonie</w:t>
        </w:r>
      </w:hyperlink>
      <w:r w:rsidR="00BC3345" w:rsidRPr="00AA738D">
        <w:t>.</w:t>
      </w:r>
    </w:p>
    <w:p w14:paraId="651D1DF9" w14:textId="40C03409" w:rsidR="00BC3345" w:rsidRDefault="00BC3345" w:rsidP="00BC3345">
      <w:pPr>
        <w:pStyle w:val="Encadrdocument"/>
      </w:pPr>
      <w:r>
        <w:t xml:space="preserve">Source : </w:t>
      </w:r>
      <w:hyperlink r:id="rId74" w:history="1">
        <w:r w:rsidR="00DB7573" w:rsidRPr="00DB7573">
          <w:rPr>
            <w:rStyle w:val="Lienhypertexte"/>
          </w:rPr>
          <w:t>éduscol.education.fr</w:t>
        </w:r>
      </w:hyperlink>
    </w:p>
    <w:p w14:paraId="72E1325E" w14:textId="1465FB5B" w:rsidR="00BC3345" w:rsidRPr="00DB7573" w:rsidRDefault="00BC3345" w:rsidP="00DB7573">
      <w:pPr>
        <w:pStyle w:val="Titre3"/>
        <w:rPr>
          <w:rStyle w:val="Titre3Car"/>
          <w:b/>
        </w:rPr>
      </w:pPr>
      <w:bookmarkStart w:id="4" w:name="_Toc208922256"/>
      <w:r w:rsidRPr="00DB7573">
        <w:rPr>
          <w:rStyle w:val="Titre3Car"/>
          <w:b/>
        </w:rPr>
        <w:t xml:space="preserve">Séance 2 : </w:t>
      </w:r>
      <w:r w:rsidR="00DB7573" w:rsidRPr="00DB7573">
        <w:rPr>
          <w:rStyle w:val="Titre3Car"/>
          <w:b/>
        </w:rPr>
        <w:t>c</w:t>
      </w:r>
      <w:r w:rsidRPr="00DB7573">
        <w:rPr>
          <w:rStyle w:val="Titre3Car"/>
          <w:b/>
        </w:rPr>
        <w:t>itoyenneté et nationalité, passer des définitions à la pratique citoyenne. [2h</w:t>
      </w:r>
      <w:bookmarkEnd w:id="4"/>
      <w:r w:rsidRPr="00DB7573">
        <w:rPr>
          <w:rStyle w:val="Titre3Car"/>
          <w:b/>
        </w:rPr>
        <w:t>]</w:t>
      </w:r>
    </w:p>
    <w:p w14:paraId="0FD350BC" w14:textId="77777777" w:rsidR="00BC3345" w:rsidRPr="0064071D" w:rsidRDefault="00BC3345" w:rsidP="00BC3345">
      <w:pPr>
        <w:pStyle w:val="Titre4"/>
      </w:pPr>
      <w:r>
        <w:t>Activité 1 – Devenir citoyenne ou citoyen en France – comprendre les procédures d’acquisition de la nationalité et donc de la citoyenneté française.</w:t>
      </w:r>
    </w:p>
    <w:p w14:paraId="34F749E6" w14:textId="77777777" w:rsidR="00BC3345" w:rsidRDefault="00BC3345" w:rsidP="00BC3345">
      <w:pPr>
        <w:pStyle w:val="Encadrdocumenttitre"/>
      </w:pPr>
      <w:r w:rsidRPr="00391474">
        <w:t>Document 1 –</w:t>
      </w:r>
      <w:r>
        <w:t xml:space="preserve"> Infographie : comment devient-on citoyen français ?</w:t>
      </w:r>
    </w:p>
    <w:p w14:paraId="0DDABF05" w14:textId="0E4734B0" w:rsidR="00BC3345" w:rsidRPr="00A97937" w:rsidRDefault="00BC3345" w:rsidP="00BC3345">
      <w:pPr>
        <w:pStyle w:val="Encadrdocument"/>
      </w:pPr>
      <w:r w:rsidRPr="00A97937">
        <w:t>Source :</w:t>
      </w:r>
      <w:r w:rsidR="00DB7573">
        <w:t xml:space="preserve"> </w:t>
      </w:r>
      <w:hyperlink r:id="rId75" w:history="1">
        <w:r w:rsidR="00DB7573" w:rsidRPr="00DB7573">
          <w:rPr>
            <w:rStyle w:val="Lienhypertexte"/>
          </w:rPr>
          <w:t>vie-publique.fr</w:t>
        </w:r>
      </w:hyperlink>
      <w:r w:rsidR="00DB7573" w:rsidRPr="00A97937">
        <w:t xml:space="preserve"> </w:t>
      </w:r>
    </w:p>
    <w:p w14:paraId="4F796549" w14:textId="16A85D54" w:rsidR="00BC3345" w:rsidRPr="00391474" w:rsidRDefault="00BC3345" w:rsidP="00BC3345">
      <w:pPr>
        <w:pStyle w:val="Encadrdocumenttitre"/>
        <w:rPr>
          <w:bCs/>
        </w:rPr>
      </w:pPr>
      <w:r w:rsidRPr="00E64CE2">
        <w:t xml:space="preserve">Document </w:t>
      </w:r>
      <w:r>
        <w:t xml:space="preserve">2 – </w:t>
      </w:r>
      <w:r w:rsidRPr="00391474">
        <w:t>Article LO227-1 du Code électoral </w:t>
      </w:r>
    </w:p>
    <w:p w14:paraId="7F2F944E" w14:textId="77777777" w:rsidR="00BC3345" w:rsidRPr="000D28D5" w:rsidRDefault="00BC3345" w:rsidP="00BC3345">
      <w:pPr>
        <w:pStyle w:val="Encadrdocument"/>
      </w:pPr>
      <w:r>
        <w:t>« </w:t>
      </w:r>
      <w:r w:rsidRPr="000D28D5">
        <w:t>Les citoyens de l'Union européenne résidant en France, autres que les citoyens français, peuvent participer à l'élection des conseillers municipaux dans les mêmes conditions que les électeurs français, sous réserve des dispositions de la présente section.</w:t>
      </w:r>
    </w:p>
    <w:p w14:paraId="5F597F07" w14:textId="77777777" w:rsidR="00BC3345" w:rsidRPr="000D28D5" w:rsidRDefault="00BC3345" w:rsidP="00BC3345">
      <w:pPr>
        <w:pStyle w:val="Encadrdocument"/>
      </w:pPr>
      <w:r w:rsidRPr="000D28D5">
        <w:t>Les personnes mentionnées au premier alinéa sont considérées comme résidant en France si elles y ont leur domicile réel ou si leur résidence y a un caractère continu.</w:t>
      </w:r>
    </w:p>
    <w:p w14:paraId="076B11C7" w14:textId="77777777" w:rsidR="00BC3345" w:rsidRPr="000D28D5" w:rsidRDefault="00BC3345" w:rsidP="00BC3345">
      <w:pPr>
        <w:pStyle w:val="Encadrdocument"/>
      </w:pPr>
      <w:r w:rsidRPr="000D28D5">
        <w:t>Pour l'application de la présente section, l'élection des membres du Conseil de Paris est assimilée à celle des conseillers municipaux.</w:t>
      </w:r>
      <w:r>
        <w:t> »</w:t>
      </w:r>
    </w:p>
    <w:p w14:paraId="57B89893" w14:textId="77777777" w:rsidR="00BC3345" w:rsidRPr="00391474" w:rsidRDefault="00BC3345" w:rsidP="00BC3345">
      <w:pPr>
        <w:pStyle w:val="Encadrdocumenttitre"/>
        <w:rPr>
          <w:bCs/>
        </w:rPr>
      </w:pPr>
      <w:r w:rsidRPr="00391474">
        <w:t>Document 3 –</w:t>
      </w:r>
      <w:r>
        <w:t xml:space="preserve"> </w:t>
      </w:r>
      <w:r w:rsidRPr="00391474">
        <w:t>Débat sur le droit de vote des étrangers en France</w:t>
      </w:r>
    </w:p>
    <w:p w14:paraId="5FC21139" w14:textId="77777777" w:rsidR="00BC3345" w:rsidRPr="00C700A2" w:rsidRDefault="00BC3345" w:rsidP="00BC3345">
      <w:pPr>
        <w:pStyle w:val="Encadrdocument"/>
      </w:pPr>
      <w:r w:rsidRPr="00C700A2">
        <w:t xml:space="preserve">Proposé par </w:t>
      </w:r>
      <w:hyperlink r:id="rId76" w:tooltip="Aller sur la page de Institut national de l’audiovisuel" w:history="1">
        <w:r w:rsidRPr="00C700A2">
          <w:rPr>
            <w:rStyle w:val="Lienhypertexte"/>
          </w:rPr>
          <w:t>Institut national de l’audiovisuel</w:t>
        </w:r>
      </w:hyperlink>
      <w:r>
        <w:t xml:space="preserve"> </w:t>
      </w:r>
      <w:r w:rsidRPr="00C700A2">
        <w:t>Date de diffusion : 10 oct. 2002</w:t>
      </w:r>
    </w:p>
    <w:p w14:paraId="331B9F09" w14:textId="77777777" w:rsidR="00BC3345" w:rsidRDefault="00BC3345" w:rsidP="00BC3345">
      <w:pPr>
        <w:pStyle w:val="Encadrdocument"/>
      </w:pPr>
      <w:r w:rsidRPr="00C700A2">
        <w:t>Malgré l'extension du droit de vote aux citoyens européens pour les élections municipales et européennes, la possibilité de donner ce droit à l'ensemble des étrangers installés en France continue de susciter le débat.</w:t>
      </w:r>
    </w:p>
    <w:p w14:paraId="45B0E241" w14:textId="09399528" w:rsidR="00BC3345" w:rsidRDefault="00BC3345" w:rsidP="00BC3345">
      <w:pPr>
        <w:pStyle w:val="Encadrdocument"/>
      </w:pPr>
      <w:r>
        <w:t xml:space="preserve">Source : </w:t>
      </w:r>
      <w:hyperlink r:id="rId77" w:history="1">
        <w:r w:rsidR="00DB7573" w:rsidRPr="00DB7573">
          <w:rPr>
            <w:rStyle w:val="Lienhypertexte"/>
          </w:rPr>
          <w:t>enseignants.lumni.fr</w:t>
        </w:r>
      </w:hyperlink>
      <w:r w:rsidR="00DB7573">
        <w:t xml:space="preserve"> </w:t>
      </w:r>
    </w:p>
    <w:p w14:paraId="4CB0BF46" w14:textId="77777777" w:rsidR="00BC3345" w:rsidRDefault="00BC3345" w:rsidP="00BC3345">
      <w:pPr>
        <w:pStyle w:val="Titre4"/>
      </w:pPr>
      <w:r>
        <w:t>Activité 2 – Vivre sa citoyenneté en actes</w:t>
      </w:r>
    </w:p>
    <w:p w14:paraId="3DB33AA2" w14:textId="77777777" w:rsidR="00472811" w:rsidRPr="000B683F" w:rsidRDefault="00472811" w:rsidP="00472811">
      <w:pPr>
        <w:pStyle w:val="Encadrdocumenttitre"/>
      </w:pPr>
      <w:r w:rsidRPr="00391474">
        <w:t>Document 1</w:t>
      </w:r>
      <w:r w:rsidRPr="000B683F">
        <w:t>– Citoyenneté – des questions, des réponses</w:t>
      </w:r>
    </w:p>
    <w:p w14:paraId="1FDD2DBF" w14:textId="77777777" w:rsidR="00472811" w:rsidRPr="000B683F" w:rsidRDefault="00472811" w:rsidP="00472811">
      <w:pPr>
        <w:pStyle w:val="Encadrdocument"/>
      </w:pPr>
      <w:r w:rsidRPr="000B683F">
        <w:t>J'habite ici et je ne suis pas citoyenne ?</w:t>
      </w:r>
      <w:r w:rsidRPr="00391474">
        <w:t xml:space="preserve"> </w:t>
      </w:r>
      <w:r w:rsidRPr="00391474">
        <w:rPr>
          <w:b/>
          <w:bCs w:val="0"/>
        </w:rPr>
        <w:t>A partir de 3’00</w:t>
      </w:r>
      <w:r w:rsidRPr="000B683F">
        <w:t> :  Michel Delattre, professeur de philosophie à Sciences-Po, Saint Germain en Laye.</w:t>
      </w:r>
    </w:p>
    <w:p w14:paraId="0330CA83" w14:textId="5D77D99C" w:rsidR="00472811" w:rsidRPr="000B683F" w:rsidRDefault="00472811" w:rsidP="00472811">
      <w:pPr>
        <w:pStyle w:val="Encadrdocument"/>
      </w:pPr>
      <w:r w:rsidRPr="000B683F">
        <w:t xml:space="preserve">Source : </w:t>
      </w:r>
      <w:hyperlink r:id="rId78" w:history="1">
        <w:r w:rsidRPr="00391474">
          <w:t>https://valeurs-de-la-republique.reseau-canope.fr/decouvrir/notice/citoyennete/des-questions-des-reactions-quelques-elements-de-reponse</w:t>
        </w:r>
      </w:hyperlink>
      <w:r w:rsidR="00D17D73">
        <w:t xml:space="preserve"> </w:t>
      </w:r>
      <w:r>
        <w:t xml:space="preserve"> </w:t>
      </w:r>
      <w:r w:rsidR="00D17D73">
        <w:t xml:space="preserve"> </w:t>
      </w:r>
      <w:r w:rsidRPr="00391474">
        <w:t xml:space="preserve"> </w:t>
      </w:r>
      <w:r>
        <w:t xml:space="preserve"> </w:t>
      </w:r>
    </w:p>
    <w:p w14:paraId="7F4FD3AC" w14:textId="2B8360EA" w:rsidR="00472811" w:rsidRPr="00391474" w:rsidRDefault="00472811" w:rsidP="00472811">
      <w:pPr>
        <w:pStyle w:val="Encadrdocumenttitre"/>
      </w:pPr>
      <w:r w:rsidRPr="00391474">
        <w:t xml:space="preserve">Document 2 </w:t>
      </w:r>
      <w:r w:rsidRPr="000B683F">
        <w:t>–portrait d’</w:t>
      </w:r>
      <w:proofErr w:type="spellStart"/>
      <w:r w:rsidRPr="000B683F">
        <w:t>Addi</w:t>
      </w:r>
      <w:proofErr w:type="spellEnd"/>
      <w:r w:rsidRPr="000B683F">
        <w:t xml:space="preserve"> Bâ (1911-1943) extrait de la série « Frères d’armes » - cliquer sur « découvrir les portraits de la </w:t>
      </w:r>
      <w:hyperlink r:id="rId79" w:history="1">
        <w:r w:rsidRPr="00D17D73">
          <w:rPr>
            <w:rStyle w:val="Lienhypertexte"/>
          </w:rPr>
          <w:t>série Frères d’armes</w:t>
        </w:r>
      </w:hyperlink>
      <w:r w:rsidRPr="00391474">
        <w:t xml:space="preserve">. </w:t>
      </w:r>
    </w:p>
    <w:p w14:paraId="1C123BFA" w14:textId="77777777" w:rsidR="00472811" w:rsidRDefault="00472811" w:rsidP="00472811">
      <w:pPr>
        <w:pStyle w:val="Titre4"/>
      </w:pPr>
      <w:r>
        <w:t>Activité 3 – Le patriotisme constitutionnel – exprimer son attachement aux valeurs et aux principes de la République et de la démocratie françaises</w:t>
      </w:r>
    </w:p>
    <w:p w14:paraId="432175C8" w14:textId="77777777" w:rsidR="00472811" w:rsidRDefault="00472811" w:rsidP="00472811">
      <w:pPr>
        <w:pStyle w:val="Encadrdocumenttitre"/>
      </w:pPr>
      <w:r>
        <w:t>Corpus documentaire</w:t>
      </w:r>
    </w:p>
    <w:p w14:paraId="08776133" w14:textId="45F250E4" w:rsidR="00472811" w:rsidRPr="00407E97" w:rsidRDefault="00472811" w:rsidP="00DB7573">
      <w:pPr>
        <w:pStyle w:val="Encadrdocumenttitre"/>
        <w:spacing w:before="100" w:after="100"/>
      </w:pPr>
      <w:r w:rsidRPr="00E66C96">
        <w:t>Document 1</w:t>
      </w:r>
      <w:r>
        <w:t xml:space="preserve">– article canadien- </w:t>
      </w:r>
      <w:hyperlink r:id="rId80" w:history="1">
        <w:r w:rsidRPr="00DB7573">
          <w:rPr>
            <w:rStyle w:val="Lienhypertexte"/>
          </w:rPr>
          <w:t>La cérémonie d’ouverture des Jeux de Paris 2024 en a mis plein la vue !</w:t>
        </w:r>
      </w:hyperlink>
      <w:r w:rsidR="00DB7573" w:rsidRPr="00407E97">
        <w:t xml:space="preserve"> </w:t>
      </w:r>
    </w:p>
    <w:p w14:paraId="18A4762B" w14:textId="6F6C2577" w:rsidR="00472811" w:rsidRDefault="00472811" w:rsidP="00DB7573">
      <w:pPr>
        <w:pStyle w:val="Encadrdocumenttitre"/>
        <w:spacing w:before="100" w:after="100"/>
      </w:pPr>
      <w:r w:rsidRPr="00E66C96">
        <w:lastRenderedPageBreak/>
        <w:t xml:space="preserve">Document 2 – </w:t>
      </w:r>
      <w:r>
        <w:t>« </w:t>
      </w:r>
      <w:hyperlink r:id="rId81" w:history="1">
        <w:r w:rsidRPr="00DB7573">
          <w:rPr>
            <w:rStyle w:val="Lienhypertexte"/>
          </w:rPr>
          <w:t>Dix statues de femmes mises à l’honneur lors de la cérémonie d’ouverture des Jeux à voir à l’Assemblée nationale ! </w:t>
        </w:r>
      </w:hyperlink>
      <w:r>
        <w:t>»</w:t>
      </w:r>
      <w:r w:rsidR="00DB7573">
        <w:t xml:space="preserve"> </w:t>
      </w:r>
    </w:p>
    <w:p w14:paraId="53474558" w14:textId="75F82FC7" w:rsidR="00472811" w:rsidRPr="00E66C96" w:rsidRDefault="00472811" w:rsidP="00472811">
      <w:pPr>
        <w:pStyle w:val="Titre2"/>
      </w:pPr>
      <w:bookmarkStart w:id="5" w:name="_Toc208922260"/>
      <w:r w:rsidRPr="00391474">
        <w:t xml:space="preserve">Proposition d’activité : </w:t>
      </w:r>
      <w:r w:rsidR="00DB7573">
        <w:t>l</w:t>
      </w:r>
      <w:r w:rsidRPr="00391474">
        <w:t>a mémoire de l'esclavage : l’élaboration d’un récit partagé</w:t>
      </w:r>
      <w:bookmarkEnd w:id="5"/>
    </w:p>
    <w:p w14:paraId="58A6CA9E" w14:textId="77777777" w:rsidR="00472811" w:rsidRPr="004E653B" w:rsidRDefault="00472811" w:rsidP="00DB7573">
      <w:pPr>
        <w:pStyle w:val="Titre3"/>
        <w:rPr>
          <w:shd w:val="clear" w:color="auto" w:fill="FFFFFF"/>
        </w:rPr>
      </w:pPr>
      <w:r>
        <w:rPr>
          <w:shd w:val="clear" w:color="auto" w:fill="FFFFFF"/>
        </w:rPr>
        <w:t>Temps 1 - Introduction de l’activité, mise en relation avec les contenus d’enseignement</w:t>
      </w:r>
    </w:p>
    <w:p w14:paraId="5F81CEDA" w14:textId="41FFA6CD" w:rsidR="00472811" w:rsidRDefault="00472811" w:rsidP="00472811">
      <w:pPr>
        <w:pStyle w:val="Encadrdocumenttitre"/>
      </w:pPr>
      <w:r w:rsidRPr="00E66C96">
        <w:t>Document 1</w:t>
      </w:r>
      <w:r w:rsidRPr="00691610">
        <w:t xml:space="preserve"> </w:t>
      </w:r>
      <w:r>
        <w:t>–</w:t>
      </w:r>
      <w:r w:rsidRPr="00691610">
        <w:t xml:space="preserve"> </w:t>
      </w:r>
    </w:p>
    <w:p w14:paraId="4E031C0B" w14:textId="760601D9" w:rsidR="00472811" w:rsidRPr="00691610" w:rsidRDefault="00472811" w:rsidP="00472811">
      <w:pPr>
        <w:pStyle w:val="Encadrdocument"/>
      </w:pPr>
      <w:r w:rsidRPr="00691610">
        <w:t>La Journée internationale de commémoration des victimes de l'esclavage et de la traite transatlantique des esclaves a lieu le 25 mars. Plusieurs millions d'Africains ont été déportés pendant plusieurs siècles vers le continent américain. Retour en images sur l’histoire de la traite, de l’esclavage et de ses victimes.</w:t>
      </w:r>
    </w:p>
    <w:p w14:paraId="6857B9EB" w14:textId="3BF33E7F" w:rsidR="00472811" w:rsidRPr="00691610" w:rsidRDefault="00472811" w:rsidP="00472811">
      <w:pPr>
        <w:pStyle w:val="Encadrdocument"/>
      </w:pPr>
      <w:r>
        <w:t xml:space="preserve">Source : </w:t>
      </w:r>
      <w:hyperlink r:id="rId82" w:history="1">
        <w:r w:rsidR="00DB7573" w:rsidRPr="00DB7573">
          <w:rPr>
            <w:rStyle w:val="Lienhypertexte"/>
          </w:rPr>
          <w:t>vie-publique.fr</w:t>
        </w:r>
      </w:hyperlink>
      <w:r w:rsidR="00DB7573" w:rsidRPr="00691610">
        <w:t xml:space="preserve"> </w:t>
      </w:r>
    </w:p>
    <w:p w14:paraId="5AE73957" w14:textId="77777777" w:rsidR="00472811" w:rsidRPr="00691610" w:rsidRDefault="00472811" w:rsidP="00472811">
      <w:pPr>
        <w:pStyle w:val="Encadrdocumenttitre"/>
      </w:pPr>
      <w:r w:rsidRPr="00E66C96">
        <w:t>Document 2</w:t>
      </w:r>
      <w:r w:rsidRPr="00691610">
        <w:t xml:space="preserve"> –</w:t>
      </w:r>
    </w:p>
    <w:p w14:paraId="738FACE6" w14:textId="77777777" w:rsidR="00472811" w:rsidRPr="00691610" w:rsidRDefault="00472811" w:rsidP="00472811">
      <w:pPr>
        <w:pStyle w:val="Encadrdocument"/>
      </w:pPr>
      <w:r w:rsidRPr="00691610">
        <w:t>Différentes journées de commémoration de l’abolition de l’esclavage sont reconnues sur le territoire français.</w:t>
      </w:r>
    </w:p>
    <w:p w14:paraId="69E8DBC7" w14:textId="77777777" w:rsidR="00472811" w:rsidRPr="00691610" w:rsidRDefault="00472811" w:rsidP="00472811">
      <w:pPr>
        <w:pStyle w:val="Encadrdocument"/>
      </w:pPr>
      <w:r w:rsidRPr="00691610">
        <w:t>Cette diversité reflète la complexité et les particularités locales de l’histoire de l’esclavage dans les départements et régions d’outre-mer français. Alors que le décret Schoelcher abolit en théorie l’esclavage le 27 avril 1848, la situation politique et sociale des esclaves ne change pas. Ainsi, ces dates historiques correspondent à l’anniversaire de l’abolition réelle de l’esclavage outre-mer : </w:t>
      </w:r>
    </w:p>
    <w:p w14:paraId="2544549C" w14:textId="77777777" w:rsidR="00472811" w:rsidRPr="00691610" w:rsidRDefault="00472811" w:rsidP="00472811">
      <w:pPr>
        <w:pStyle w:val="Encadrdocument"/>
      </w:pPr>
      <w:proofErr w:type="gramStart"/>
      <w:r w:rsidRPr="00691610">
        <w:t>le</w:t>
      </w:r>
      <w:proofErr w:type="gramEnd"/>
      <w:r w:rsidRPr="00691610">
        <w:t xml:space="preserve"> 27 avril à Mayotte ;</w:t>
      </w:r>
    </w:p>
    <w:p w14:paraId="496EAD0D" w14:textId="77777777" w:rsidR="00472811" w:rsidRPr="00691610" w:rsidRDefault="00472811" w:rsidP="00472811">
      <w:pPr>
        <w:pStyle w:val="Encadrdocument"/>
      </w:pPr>
      <w:proofErr w:type="gramStart"/>
      <w:r w:rsidRPr="00691610">
        <w:t>le</w:t>
      </w:r>
      <w:proofErr w:type="gramEnd"/>
      <w:r w:rsidRPr="00691610">
        <w:t xml:space="preserve"> 22 mai en Martinique ;</w:t>
      </w:r>
    </w:p>
    <w:p w14:paraId="35F1B765" w14:textId="77777777" w:rsidR="00472811" w:rsidRPr="00691610" w:rsidRDefault="00472811" w:rsidP="00472811">
      <w:pPr>
        <w:pStyle w:val="Encadrdocument"/>
      </w:pPr>
      <w:proofErr w:type="gramStart"/>
      <w:r w:rsidRPr="00691610">
        <w:t>le</w:t>
      </w:r>
      <w:proofErr w:type="gramEnd"/>
      <w:r w:rsidRPr="00691610">
        <w:t xml:space="preserve"> 27 mai en Guadeloupe ;</w:t>
      </w:r>
    </w:p>
    <w:p w14:paraId="15157835" w14:textId="77777777" w:rsidR="00472811" w:rsidRPr="00691610" w:rsidRDefault="00472811" w:rsidP="00472811">
      <w:pPr>
        <w:pStyle w:val="Encadrdocument"/>
      </w:pPr>
      <w:proofErr w:type="gramStart"/>
      <w:r w:rsidRPr="00691610">
        <w:t>le</w:t>
      </w:r>
      <w:proofErr w:type="gramEnd"/>
      <w:r w:rsidRPr="00691610">
        <w:t xml:space="preserve"> 10 juin en Guyane ;</w:t>
      </w:r>
    </w:p>
    <w:p w14:paraId="73B14CE9" w14:textId="77777777" w:rsidR="00472811" w:rsidRPr="00691610" w:rsidRDefault="00472811" w:rsidP="00472811">
      <w:pPr>
        <w:pStyle w:val="Encadrdocument"/>
      </w:pPr>
      <w:proofErr w:type="gramStart"/>
      <w:r w:rsidRPr="00691610">
        <w:t>le</w:t>
      </w:r>
      <w:proofErr w:type="gramEnd"/>
      <w:r w:rsidRPr="00691610">
        <w:t xml:space="preserve"> 20 décembre à la Réunion.</w:t>
      </w:r>
    </w:p>
    <w:p w14:paraId="73E087AB" w14:textId="77777777" w:rsidR="00472811" w:rsidRPr="00691610" w:rsidRDefault="00472811" w:rsidP="00472811">
      <w:pPr>
        <w:pStyle w:val="Encadrdocument"/>
      </w:pPr>
      <w:r w:rsidRPr="00691610">
        <w:t>La loi du 30 juin 1983 reconnaît ces journées de commémoration de l’abolition de l’esclavage comme des jours fériés locaux. </w:t>
      </w:r>
    </w:p>
    <w:p w14:paraId="07C1A33C" w14:textId="77777777" w:rsidR="00472811" w:rsidRPr="00691610" w:rsidRDefault="00472811" w:rsidP="00472811">
      <w:pPr>
        <w:pStyle w:val="Encadrdocument"/>
      </w:pPr>
      <w:r w:rsidRPr="00691610">
        <w:t>La Fondation pour la mémoire de l'esclavage, qui a remplacé le CNMHE, assure la coordination du mois des mémoires (du 27 avril au 10 juin et le 20 décembre à La Réunion) dans lequel s'inscrit la journée nationale du 10 mai.</w:t>
      </w:r>
    </w:p>
    <w:p w14:paraId="549B8BB8" w14:textId="77777777" w:rsidR="00472811" w:rsidRPr="00691610" w:rsidRDefault="00472811" w:rsidP="00472811">
      <w:pPr>
        <w:pStyle w:val="Encadrdocument"/>
      </w:pPr>
      <w:r w:rsidRPr="00691610">
        <w:t xml:space="preserve">Depuis 1949, le 2 décembre est reconnu comme la </w:t>
      </w:r>
      <w:hyperlink r:id="rId83" w:tgtFrame="_blank" w:tooltip="Journée internationale pour l'abolition de l'esclavage - Organisation des Nations unies (ONU) - Nouvelle fenêtre" w:history="1">
        <w:r w:rsidRPr="00E66C96">
          <w:rPr>
            <w:rStyle w:val="Lienhypertexte"/>
          </w:rPr>
          <w:t>journée internationale pour l’abolition de l’esclavage</w:t>
        </w:r>
      </w:hyperlink>
      <w:r w:rsidRPr="00691610">
        <w:t xml:space="preserve">. Elle commémore l’adoption par l’Assemblée générale des Nations Unies de la </w:t>
      </w:r>
      <w:r w:rsidRPr="00E66C96">
        <w:t>Convention pour la répression et l'abolition de la traite des êtres humains et de l'exploitation de la prostitution d'autrui</w:t>
      </w:r>
      <w:r w:rsidRPr="00691610">
        <w:t>. </w:t>
      </w:r>
    </w:p>
    <w:p w14:paraId="6E4C0036" w14:textId="77777777" w:rsidR="00472811" w:rsidRDefault="00472811" w:rsidP="00472811">
      <w:pPr>
        <w:pStyle w:val="Encadrdocument"/>
      </w:pPr>
      <w:r w:rsidRPr="00691610">
        <w:t xml:space="preserve">De même, une </w:t>
      </w:r>
      <w:hyperlink r:id="rId84" w:tgtFrame="_blank" w:tooltip="Journée internationale de commémoration - Organisation des Nations unies pour l'éducation, la science et la culture (Unesco) - Nouvelle fenêtre" w:history="1">
        <w:r w:rsidRPr="00E66C96">
          <w:rPr>
            <w:rStyle w:val="Lienhypertexte"/>
          </w:rPr>
          <w:t>journée internationale de commémoration</w:t>
        </w:r>
      </w:hyperlink>
      <w:r w:rsidRPr="00691610">
        <w:t xml:space="preserve"> a été initiée par l’Unesco le 23 août 1998. Elle fait référence notamment à la révolte d’esclaves du 22 au 23 août 1791 à Saint-Domingue, qui a mené à l’indépendance de la République d’Haïti.</w:t>
      </w:r>
    </w:p>
    <w:p w14:paraId="74B106CF" w14:textId="246B87BF" w:rsidR="00472811" w:rsidRPr="00691610" w:rsidRDefault="00472811" w:rsidP="00472811">
      <w:pPr>
        <w:pStyle w:val="Encadrdocument"/>
      </w:pPr>
      <w:r>
        <w:t xml:space="preserve">Source : </w:t>
      </w:r>
      <w:hyperlink r:id="rId85" w:history="1">
        <w:r w:rsidR="00DB7573" w:rsidRPr="00DB7573">
          <w:rPr>
            <w:rStyle w:val="Lienhypertexte"/>
          </w:rPr>
          <w:t>vie-pubique.fr</w:t>
        </w:r>
      </w:hyperlink>
      <w:r>
        <w:rPr>
          <w:rStyle w:val="Lienhypertexte"/>
        </w:rPr>
        <w:t xml:space="preserve"> </w:t>
      </w:r>
    </w:p>
    <w:p w14:paraId="4AB465A7" w14:textId="77777777" w:rsidR="00472811" w:rsidRDefault="00472811" w:rsidP="00DB7573">
      <w:pPr>
        <w:pStyle w:val="Titre3"/>
        <w:rPr>
          <w:shd w:val="clear" w:color="auto" w:fill="FFFFFF"/>
        </w:rPr>
      </w:pPr>
      <w:r>
        <w:rPr>
          <w:shd w:val="clear" w:color="auto" w:fill="FFFFFF"/>
        </w:rPr>
        <w:t xml:space="preserve">Temps 2 – Construire l’exposition </w:t>
      </w:r>
    </w:p>
    <w:p w14:paraId="66326D14" w14:textId="507D2D0F" w:rsidR="00472811" w:rsidRDefault="00472811" w:rsidP="00DB7573">
      <w:pPr>
        <w:pStyle w:val="Encadrdocumenttitre"/>
        <w:spacing w:before="100" w:after="100"/>
      </w:pPr>
      <w:r w:rsidRPr="00744E8B">
        <w:t xml:space="preserve">Le document support : « Le premier rapport du Comité pour la mémoire de l'esclavage » diffusé le 12 avril 2005 sur RFO et disponible sur </w:t>
      </w:r>
      <w:hyperlink r:id="rId86" w:history="1">
        <w:proofErr w:type="spellStart"/>
        <w:r w:rsidRPr="00D17D73">
          <w:rPr>
            <w:rStyle w:val="Lienhypertexte"/>
          </w:rPr>
          <w:t>Lumni</w:t>
        </w:r>
        <w:proofErr w:type="spellEnd"/>
        <w:r w:rsidRPr="00D17D73">
          <w:rPr>
            <w:rStyle w:val="Lienhypertexte"/>
          </w:rPr>
          <w:t xml:space="preserve"> enseignement</w:t>
        </w:r>
      </w:hyperlink>
    </w:p>
    <w:sectPr w:rsidR="00472811" w:rsidSect="007E1B5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1012" w14:textId="77777777" w:rsidR="00E12128" w:rsidRDefault="00E12128" w:rsidP="00343C0B">
      <w:pPr>
        <w:spacing w:after="0" w:line="240" w:lineRule="auto"/>
      </w:pPr>
      <w:r>
        <w:separator/>
      </w:r>
    </w:p>
  </w:endnote>
  <w:endnote w:type="continuationSeparator" w:id="0">
    <w:p w14:paraId="0BF37731" w14:textId="77777777" w:rsidR="00E12128" w:rsidRDefault="00E12128" w:rsidP="0034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INPro-Bold">
    <w:altName w:val="Calibri"/>
    <w:panose1 w:val="00000000000000000000"/>
    <w:charset w:val="00"/>
    <w:family w:val="modern"/>
    <w:notTrueType/>
    <w:pitch w:val="variable"/>
    <w:sig w:usb0="800002AF" w:usb1="4000206A" w:usb2="00000000" w:usb3="00000000" w:csb0="0000009F" w:csb1="00000000"/>
  </w:font>
  <w:font w:name="VAG Rounded Bold">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33E6" w14:textId="77777777" w:rsidR="00E12128" w:rsidRDefault="00E12128" w:rsidP="007E1B5D">
      <w:pPr>
        <w:spacing w:after="0" w:line="240" w:lineRule="auto"/>
      </w:pPr>
      <w:r>
        <w:separator/>
      </w:r>
    </w:p>
  </w:footnote>
  <w:footnote w:type="continuationSeparator" w:id="0">
    <w:p w14:paraId="05EF03A5" w14:textId="77777777" w:rsidR="00E12128" w:rsidRDefault="00E12128" w:rsidP="00343C0B">
      <w:pPr>
        <w:spacing w:after="0" w:line="240" w:lineRule="auto"/>
      </w:pPr>
      <w:r>
        <w:continuationSeparator/>
      </w:r>
    </w:p>
  </w:footnote>
  <w:footnote w:id="1">
    <w:p w14:paraId="2DABF1BA" w14:textId="77777777" w:rsidR="00BC3345" w:rsidRDefault="00BC3345" w:rsidP="00BC3345">
      <w:pPr>
        <w:pStyle w:val="Notedebasdepage"/>
      </w:pPr>
      <w:r>
        <w:rPr>
          <w:rStyle w:val="Appelnotedebasdep"/>
        </w:rPr>
        <w:footnoteRef/>
      </w:r>
      <w:r>
        <w:t xml:space="preserve"> </w:t>
      </w:r>
      <w:hyperlink r:id="rId1" w:history="1">
        <w:r w:rsidRPr="00596A43">
          <w:rPr>
            <w:rStyle w:val="Lienhypertexte"/>
          </w:rPr>
          <w:t>L’Observatoire des inégalités</w:t>
        </w:r>
      </w:hyperlink>
      <w:r w:rsidRPr="009A4E69">
        <w:t xml:space="preserve"> est un organisme indépendant de toute institution, entreprise privée ou autre organisation. Fondé en 2003, il dresse un état des lieux le plus fidèle possible des inégalités en France, en Europe et dans le monde.</w:t>
      </w:r>
      <w:r>
        <w:t xml:space="preserve"> Il fait partie des associations agréées par le ministère de l’Éducation qui interviennent en milieu scolaire.</w:t>
      </w:r>
    </w:p>
  </w:footnote>
  <w:footnote w:id="2">
    <w:p w14:paraId="386527EA" w14:textId="77777777" w:rsidR="00BC3345" w:rsidRDefault="00BC3345" w:rsidP="00BC3345">
      <w:pPr>
        <w:pStyle w:val="Notedebasdepage"/>
      </w:pPr>
      <w:r>
        <w:rPr>
          <w:rStyle w:val="Appelnotedebasdep"/>
        </w:rPr>
        <w:footnoteRef/>
      </w:r>
      <w:r>
        <w:t xml:space="preserve"> Conseil national des politiques de lutte contre la pauvreté et l'exclusion sociale (CNLE) : placé auprès du Premier ministre, le Conseil national des politiques de lutte contre la pauvreté et l'exclusion sociale (CNLE) est une instance représentative des principaux décideurs et acteurs, institutionnels ou associatifs, impliqués dans la mise en œuvre des politiques de lutte contre la pauvreté et l’exclusion sociale. Il est chargé d'observer l'évolution de la pauvreté, des inégalités et de l'exclusion en France, et d'assister le Gouvernement, par ses avis, sur toutes les questions de son champ d'expertise.</w:t>
      </w:r>
    </w:p>
  </w:footnote>
  <w:footnote w:id="3">
    <w:p w14:paraId="1BB91074" w14:textId="77777777" w:rsidR="00BC3345" w:rsidRDefault="00BC3345" w:rsidP="00BC3345">
      <w:pPr>
        <w:pStyle w:val="Notedebasdepage"/>
      </w:pPr>
      <w:r>
        <w:rPr>
          <w:rStyle w:val="Appelnotedebasdep"/>
        </w:rPr>
        <w:footnoteRef/>
      </w:r>
      <w:r>
        <w:t xml:space="preserve"> L'indice (ou coefficient) de Gini est un indicateur synthétique permettant de rendre compte du niveau d'inégalité pour une variable et sur une population donnée. Il varie entre 0 (égalité parfaite) et 1 (inégalité extrême). Entre 0 et 1, l'inégalité est d'autant plus forte que l'indice de Gini est élevé. Les inégalités ainsi mesurées peuvent porter sur des variables de revenus, de salaires, de niveau de vie, etc.</w:t>
      </w:r>
    </w:p>
  </w:footnote>
  <w:footnote w:id="4">
    <w:p w14:paraId="25B900D1" w14:textId="77777777" w:rsidR="00BC3345" w:rsidRDefault="00BC3345" w:rsidP="00BC3345">
      <w:pPr>
        <w:pStyle w:val="Notedebasdepage"/>
      </w:pPr>
      <w:r>
        <w:rPr>
          <w:rStyle w:val="Appelnotedebasdep"/>
        </w:rPr>
        <w:footnoteRef/>
      </w:r>
      <w:r>
        <w:t xml:space="preserve"> </w:t>
      </w:r>
      <w:r w:rsidRPr="00785639">
        <w:t>*L'allocation de soutien familial (ASF) est versée par la caisse d'allocations familiales (Caf) ou la Mutualité sociale agricole (MSA) à la personne qui élève seule son enfant privé de l'aide de l'un de ses parents, sous conditions.</w:t>
      </w:r>
    </w:p>
  </w:footnote>
  <w:footnote w:id="5">
    <w:p w14:paraId="45612120" w14:textId="77777777" w:rsidR="00BC3345" w:rsidRDefault="00BC3345" w:rsidP="00BC3345">
      <w:pPr>
        <w:pStyle w:val="Notedebasdepage"/>
      </w:pPr>
      <w:r>
        <w:rPr>
          <w:rStyle w:val="Appelnotedebasdep"/>
        </w:rPr>
        <w:footnoteRef/>
      </w:r>
      <w:r>
        <w:t xml:space="preserve"> </w:t>
      </w:r>
      <w:r w:rsidRPr="00893D02">
        <w:t xml:space="preserve">Loi </w:t>
      </w:r>
      <w:proofErr w:type="spellStart"/>
      <w:r w:rsidRPr="00893D02">
        <w:t>Kasbarian</w:t>
      </w:r>
      <w:proofErr w:type="spellEnd"/>
      <w:r w:rsidRPr="00893D02">
        <w:t>-Bergé : loi du 27 juillet 2023 visant à protéger les logements contre l’occupation illicite.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524"/>
    <w:multiLevelType w:val="hybridMultilevel"/>
    <w:tmpl w:val="7478BEF2"/>
    <w:lvl w:ilvl="0" w:tplc="D300511A">
      <w:start w:val="1"/>
      <w:numFmt w:val="bullet"/>
      <w:pStyle w:val="Paragraphedeliste"/>
      <w:lvlText w:val=""/>
      <w:lvlJc w:val="left"/>
      <w:pPr>
        <w:ind w:left="1440" w:hanging="360"/>
      </w:pPr>
      <w:rPr>
        <w:rFonts w:ascii="Symbol" w:hAnsi="Symbol" w:hint="default"/>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391FCB"/>
    <w:multiLevelType w:val="hybridMultilevel"/>
    <w:tmpl w:val="F1A61674"/>
    <w:lvl w:ilvl="0" w:tplc="B6DCB95C">
      <w:start w:val="14"/>
      <w:numFmt w:val="bullet"/>
      <w:lvlText w:val="-"/>
      <w:lvlJc w:val="left"/>
      <w:pPr>
        <w:ind w:left="530" w:hanging="360"/>
      </w:pPr>
      <w:rPr>
        <w:rFonts w:ascii="Marianne Light" w:eastAsiaTheme="minorHAnsi" w:hAnsi="Marianne Light" w:cstheme="minorBidi" w:hint="default"/>
      </w:rPr>
    </w:lvl>
    <w:lvl w:ilvl="1" w:tplc="040C0003">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2"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3" w15:restartNumberingAfterBreak="0">
    <w:nsid w:val="4A876C8D"/>
    <w:multiLevelType w:val="hybridMultilevel"/>
    <w:tmpl w:val="2E4A57D0"/>
    <w:lvl w:ilvl="0" w:tplc="29F0247E">
      <w:start w:val="1"/>
      <w:numFmt w:val="bullet"/>
      <w:pStyle w:val="Tiretstableau"/>
      <w:lvlText w:val="-"/>
      <w:lvlJc w:val="left"/>
      <w:pPr>
        <w:ind w:left="5464" w:hanging="360"/>
      </w:pPr>
      <w:rPr>
        <w:rFonts w:ascii="Marianne" w:hAnsi="Marianne" w:cs="Arial Black" w:hint="default"/>
        <w:bCs/>
        <w:iCs w:val="0"/>
        <w:color w:val="000091"/>
        <w:w w:val="2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5F6826"/>
    <w:multiLevelType w:val="hybridMultilevel"/>
    <w:tmpl w:val="620028A2"/>
    <w:lvl w:ilvl="0" w:tplc="5A7A5D4C">
      <w:numFmt w:val="bullet"/>
      <w:pStyle w:val="TM2"/>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77665C3C"/>
    <w:multiLevelType w:val="hybridMultilevel"/>
    <w:tmpl w:val="4E76890C"/>
    <w:lvl w:ilvl="0" w:tplc="07968452">
      <w:start w:val="1"/>
      <w:numFmt w:val="bullet"/>
      <w:pStyle w:val="Pucestableau"/>
      <w:lvlText w:val=""/>
      <w:lvlJc w:val="left"/>
      <w:pPr>
        <w:ind w:left="360" w:hanging="360"/>
      </w:pPr>
      <w:rPr>
        <w:rFonts w:ascii="Symbol" w:hAnsi="Symbol" w:hint="default"/>
        <w:strike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4276988">
    <w:abstractNumId w:val="2"/>
  </w:num>
  <w:num w:numId="2" w16cid:durableId="1313295260">
    <w:abstractNumId w:val="0"/>
  </w:num>
  <w:num w:numId="3" w16cid:durableId="2130932551">
    <w:abstractNumId w:val="4"/>
  </w:num>
  <w:num w:numId="4" w16cid:durableId="410544117">
    <w:abstractNumId w:val="5"/>
  </w:num>
  <w:num w:numId="5" w16cid:durableId="1514958183">
    <w:abstractNumId w:val="1"/>
  </w:num>
  <w:num w:numId="6" w16cid:durableId="58997417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0B"/>
    <w:rsid w:val="00006F7D"/>
    <w:rsid w:val="000133F3"/>
    <w:rsid w:val="000230D5"/>
    <w:rsid w:val="00032AD3"/>
    <w:rsid w:val="000B2715"/>
    <w:rsid w:val="000C335E"/>
    <w:rsid w:val="000E22BA"/>
    <w:rsid w:val="000F0E07"/>
    <w:rsid w:val="00123D49"/>
    <w:rsid w:val="0016778A"/>
    <w:rsid w:val="001D74C0"/>
    <w:rsid w:val="001F2C5F"/>
    <w:rsid w:val="002433D0"/>
    <w:rsid w:val="00244CB3"/>
    <w:rsid w:val="00271A31"/>
    <w:rsid w:val="00285C38"/>
    <w:rsid w:val="00300363"/>
    <w:rsid w:val="00343C0B"/>
    <w:rsid w:val="00472811"/>
    <w:rsid w:val="00492381"/>
    <w:rsid w:val="004C5755"/>
    <w:rsid w:val="00582F73"/>
    <w:rsid w:val="005C7CED"/>
    <w:rsid w:val="005D1522"/>
    <w:rsid w:val="00621B05"/>
    <w:rsid w:val="00624E7C"/>
    <w:rsid w:val="0067721D"/>
    <w:rsid w:val="006B5B60"/>
    <w:rsid w:val="006C0719"/>
    <w:rsid w:val="006C3E44"/>
    <w:rsid w:val="006E00BF"/>
    <w:rsid w:val="00721CAB"/>
    <w:rsid w:val="00744DE0"/>
    <w:rsid w:val="00775EFB"/>
    <w:rsid w:val="00787940"/>
    <w:rsid w:val="007A3697"/>
    <w:rsid w:val="007E0E8C"/>
    <w:rsid w:val="007E1B5D"/>
    <w:rsid w:val="007F7119"/>
    <w:rsid w:val="008B2913"/>
    <w:rsid w:val="008C1877"/>
    <w:rsid w:val="00902F0D"/>
    <w:rsid w:val="00915FD7"/>
    <w:rsid w:val="00950CCF"/>
    <w:rsid w:val="00953A09"/>
    <w:rsid w:val="009B4032"/>
    <w:rsid w:val="009C3304"/>
    <w:rsid w:val="009F0A7D"/>
    <w:rsid w:val="00A01E01"/>
    <w:rsid w:val="00A1087A"/>
    <w:rsid w:val="00A64F8B"/>
    <w:rsid w:val="00AB5921"/>
    <w:rsid w:val="00AB7936"/>
    <w:rsid w:val="00AF441F"/>
    <w:rsid w:val="00B13E90"/>
    <w:rsid w:val="00B20209"/>
    <w:rsid w:val="00B535BB"/>
    <w:rsid w:val="00B7010C"/>
    <w:rsid w:val="00B8166B"/>
    <w:rsid w:val="00BB4098"/>
    <w:rsid w:val="00BC3345"/>
    <w:rsid w:val="00C75915"/>
    <w:rsid w:val="00C97B50"/>
    <w:rsid w:val="00CA3AE0"/>
    <w:rsid w:val="00CD2AF4"/>
    <w:rsid w:val="00CE104F"/>
    <w:rsid w:val="00D07582"/>
    <w:rsid w:val="00D17D73"/>
    <w:rsid w:val="00D31195"/>
    <w:rsid w:val="00D44AE9"/>
    <w:rsid w:val="00D669A7"/>
    <w:rsid w:val="00D75772"/>
    <w:rsid w:val="00D90781"/>
    <w:rsid w:val="00DB1E6B"/>
    <w:rsid w:val="00DB7573"/>
    <w:rsid w:val="00DC1054"/>
    <w:rsid w:val="00DD607B"/>
    <w:rsid w:val="00DE3492"/>
    <w:rsid w:val="00E12128"/>
    <w:rsid w:val="00E22229"/>
    <w:rsid w:val="00E318BF"/>
    <w:rsid w:val="00E35489"/>
    <w:rsid w:val="00E66B6A"/>
    <w:rsid w:val="00EC71B2"/>
    <w:rsid w:val="00EE4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D089E"/>
  <w15:chartTrackingRefBased/>
  <w15:docId w15:val="{6B2E4992-ABE7-4DE9-AE92-647E99C5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6A"/>
    <w:pPr>
      <w:spacing w:line="278" w:lineRule="auto"/>
    </w:pPr>
    <w:rPr>
      <w:kern w:val="2"/>
      <w:sz w:val="24"/>
      <w:szCs w:val="24"/>
      <w14:ligatures w14:val="standardContextual"/>
    </w:rPr>
  </w:style>
  <w:style w:type="paragraph" w:styleId="Titre1">
    <w:name w:val="heading 1"/>
    <w:basedOn w:val="Normal"/>
    <w:next w:val="Normal"/>
    <w:link w:val="Titre1Car"/>
    <w:uiPriority w:val="9"/>
    <w:qFormat/>
    <w:rsid w:val="007E1B5D"/>
    <w:pPr>
      <w:keepNext/>
      <w:pBdr>
        <w:left w:val="single" w:sz="48" w:space="4" w:color="E0DDEE"/>
      </w:pBdr>
      <w:spacing w:before="240"/>
      <w:outlineLvl w:val="0"/>
    </w:pPr>
    <w:rPr>
      <w:rFonts w:ascii="Marianne" w:hAnsi="Marianne"/>
      <w:b/>
      <w:bCs/>
      <w:color w:val="2E2090"/>
      <w:sz w:val="32"/>
      <w:szCs w:val="36"/>
    </w:rPr>
  </w:style>
  <w:style w:type="paragraph" w:styleId="Titre2">
    <w:name w:val="heading 2"/>
    <w:basedOn w:val="Normal"/>
    <w:next w:val="Normal"/>
    <w:link w:val="Titre2Car"/>
    <w:uiPriority w:val="9"/>
    <w:unhideWhenUsed/>
    <w:qFormat/>
    <w:rsid w:val="007E1B5D"/>
    <w:pPr>
      <w:keepNext/>
      <w:pBdr>
        <w:left w:val="single" w:sz="36" w:space="4" w:color="E0DDEE"/>
      </w:pBdr>
      <w:spacing w:before="240"/>
      <w:ind w:left="709" w:firstLine="142"/>
      <w:outlineLvl w:val="1"/>
    </w:pPr>
    <w:rPr>
      <w:rFonts w:ascii="Marianne Medium" w:hAnsi="Marianne Medium"/>
      <w:color w:val="2E2090"/>
      <w:sz w:val="28"/>
      <w:szCs w:val="26"/>
    </w:rPr>
  </w:style>
  <w:style w:type="paragraph" w:styleId="Titre3">
    <w:name w:val="heading 3"/>
    <w:basedOn w:val="Normal"/>
    <w:next w:val="Normal"/>
    <w:link w:val="Titre3Car"/>
    <w:uiPriority w:val="9"/>
    <w:unhideWhenUsed/>
    <w:qFormat/>
    <w:rsid w:val="007E1B5D"/>
    <w:pPr>
      <w:keepNext/>
      <w:spacing w:before="240"/>
      <w:outlineLvl w:val="2"/>
    </w:pPr>
    <w:rPr>
      <w:rFonts w:ascii="Marianne" w:hAnsi="Marianne"/>
      <w:b/>
    </w:rPr>
  </w:style>
  <w:style w:type="paragraph" w:styleId="Titre4">
    <w:name w:val="heading 4"/>
    <w:basedOn w:val="Normal"/>
    <w:next w:val="Normal"/>
    <w:link w:val="Titre4Car"/>
    <w:uiPriority w:val="9"/>
    <w:unhideWhenUsed/>
    <w:rsid w:val="007E1B5D"/>
    <w:pPr>
      <w:keepNext/>
      <w:spacing w:before="240"/>
      <w:ind w:left="397"/>
      <w:outlineLvl w:val="3"/>
    </w:pPr>
    <w:rPr>
      <w:rFonts w:ascii="Marianne" w:hAnsi="Marianne"/>
      <w:b/>
      <w:color w:val="2D1F90"/>
    </w:rPr>
  </w:style>
  <w:style w:type="paragraph" w:styleId="Titre5">
    <w:name w:val="heading 5"/>
    <w:aliases w:val="Titre 5 ne pas utiliser"/>
    <w:basedOn w:val="Normal"/>
    <w:next w:val="Normal"/>
    <w:link w:val="Titre5Car"/>
    <w:uiPriority w:val="9"/>
    <w:qFormat/>
    <w:rsid w:val="007E1B5D"/>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qFormat/>
    <w:rsid w:val="007E1B5D"/>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qFormat/>
    <w:rsid w:val="007E1B5D"/>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qFormat/>
    <w:rsid w:val="007E1B5D"/>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qFormat/>
    <w:rsid w:val="007E1B5D"/>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rsid w:val="00E66B6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66B6A"/>
  </w:style>
  <w:style w:type="character" w:customStyle="1" w:styleId="Titre1Car">
    <w:name w:val="Titre 1 Car"/>
    <w:basedOn w:val="Policepardfaut"/>
    <w:link w:val="Titre1"/>
    <w:uiPriority w:val="9"/>
    <w:rsid w:val="007E1B5D"/>
    <w:rPr>
      <w:rFonts w:ascii="Marianne" w:hAnsi="Marianne"/>
      <w:b/>
      <w:bCs/>
      <w:color w:val="2E2090"/>
      <w:sz w:val="32"/>
      <w:szCs w:val="36"/>
    </w:rPr>
  </w:style>
  <w:style w:type="character" w:customStyle="1" w:styleId="Titre2Car">
    <w:name w:val="Titre 2 Car"/>
    <w:basedOn w:val="Policepardfaut"/>
    <w:link w:val="Titre2"/>
    <w:uiPriority w:val="9"/>
    <w:rsid w:val="007E1B5D"/>
    <w:rPr>
      <w:rFonts w:ascii="Marianne Medium" w:hAnsi="Marianne Medium"/>
      <w:color w:val="2E2090"/>
      <w:sz w:val="28"/>
      <w:szCs w:val="26"/>
    </w:rPr>
  </w:style>
  <w:style w:type="character" w:customStyle="1" w:styleId="Titre3Car">
    <w:name w:val="Titre 3 Car"/>
    <w:basedOn w:val="Policepardfaut"/>
    <w:link w:val="Titre3"/>
    <w:uiPriority w:val="9"/>
    <w:rsid w:val="007E1B5D"/>
    <w:rPr>
      <w:rFonts w:ascii="Marianne" w:hAnsi="Marianne"/>
      <w:b/>
      <w:sz w:val="24"/>
    </w:rPr>
  </w:style>
  <w:style w:type="character" w:customStyle="1" w:styleId="Titre4Car">
    <w:name w:val="Titre 4 Car"/>
    <w:basedOn w:val="Policepardfaut"/>
    <w:link w:val="Titre4"/>
    <w:uiPriority w:val="9"/>
    <w:rsid w:val="007E1B5D"/>
    <w:rPr>
      <w:rFonts w:ascii="Marianne" w:hAnsi="Marianne"/>
      <w:b/>
      <w:color w:val="2D1F90"/>
      <w:sz w:val="24"/>
    </w:rPr>
  </w:style>
  <w:style w:type="character" w:customStyle="1" w:styleId="Titre5Car">
    <w:name w:val="Titre 5 Car"/>
    <w:aliases w:val="Titre 5 ne pas utiliser Car"/>
    <w:basedOn w:val="Policepardfaut"/>
    <w:link w:val="Titre5"/>
    <w:uiPriority w:val="9"/>
    <w:rsid w:val="007E1B5D"/>
    <w:rPr>
      <w:rFonts w:asciiTheme="majorHAnsi" w:eastAsiaTheme="majorEastAsia" w:hAnsiTheme="majorHAnsi" w:cstheme="majorBidi"/>
      <w:color w:val="1F4D78" w:themeColor="accent1" w:themeShade="7F"/>
      <w:sz w:val="20"/>
    </w:rPr>
  </w:style>
  <w:style w:type="character" w:customStyle="1" w:styleId="Titre6Car">
    <w:name w:val="Titre 6 Car"/>
    <w:basedOn w:val="Policepardfaut"/>
    <w:link w:val="Titre6"/>
    <w:uiPriority w:val="9"/>
    <w:rsid w:val="007E1B5D"/>
    <w:rPr>
      <w:rFonts w:ascii="Arial" w:eastAsia="Arial" w:hAnsi="Arial" w:cs="Arial"/>
      <w:b/>
      <w:bCs/>
      <w:sz w:val="20"/>
    </w:rPr>
  </w:style>
  <w:style w:type="character" w:customStyle="1" w:styleId="Titre7Car">
    <w:name w:val="Titre 7 Car"/>
    <w:basedOn w:val="Policepardfaut"/>
    <w:link w:val="Titre7"/>
    <w:uiPriority w:val="9"/>
    <w:rsid w:val="007E1B5D"/>
    <w:rPr>
      <w:rFonts w:ascii="Arial" w:eastAsia="Arial" w:hAnsi="Arial" w:cs="Arial"/>
      <w:b/>
      <w:bCs/>
      <w:i/>
      <w:iCs/>
      <w:sz w:val="20"/>
    </w:rPr>
  </w:style>
  <w:style w:type="character" w:customStyle="1" w:styleId="Titre8Car">
    <w:name w:val="Titre 8 Car"/>
    <w:basedOn w:val="Policepardfaut"/>
    <w:link w:val="Titre8"/>
    <w:uiPriority w:val="9"/>
    <w:rsid w:val="007E1B5D"/>
    <w:rPr>
      <w:rFonts w:ascii="Arial" w:eastAsia="Arial" w:hAnsi="Arial" w:cs="Arial"/>
      <w:i/>
      <w:iCs/>
      <w:sz w:val="20"/>
    </w:rPr>
  </w:style>
  <w:style w:type="character" w:customStyle="1" w:styleId="Titre9Car">
    <w:name w:val="Titre 9 Car"/>
    <w:basedOn w:val="Policepardfaut"/>
    <w:link w:val="Titre9"/>
    <w:uiPriority w:val="9"/>
    <w:rsid w:val="007E1B5D"/>
    <w:rPr>
      <w:rFonts w:ascii="Arial" w:eastAsia="Arial" w:hAnsi="Arial" w:cs="Arial"/>
      <w:i/>
      <w:iCs/>
      <w:sz w:val="21"/>
      <w:szCs w:val="21"/>
    </w:rPr>
  </w:style>
  <w:style w:type="character" w:styleId="Appeldenotedefin">
    <w:name w:val="endnote reference"/>
    <w:basedOn w:val="Policepardfaut"/>
    <w:uiPriority w:val="99"/>
    <w:semiHidden/>
    <w:unhideWhenUsed/>
    <w:rsid w:val="007E1B5D"/>
    <w:rPr>
      <w:vertAlign w:val="superscript"/>
    </w:rPr>
  </w:style>
  <w:style w:type="character" w:styleId="Appelnotedebasdep">
    <w:name w:val="footnote reference"/>
    <w:basedOn w:val="Policepardfaut"/>
    <w:uiPriority w:val="4"/>
    <w:rsid w:val="007E1B5D"/>
    <w:rPr>
      <w:b/>
      <w:color w:val="auto"/>
      <w:sz w:val="20"/>
      <w:vertAlign w:val="superscript"/>
    </w:rPr>
  </w:style>
  <w:style w:type="paragraph" w:styleId="Commentaire">
    <w:name w:val="annotation text"/>
    <w:basedOn w:val="Normal"/>
    <w:link w:val="CommentaireCar"/>
    <w:uiPriority w:val="99"/>
    <w:unhideWhenUsed/>
    <w:rsid w:val="007E1B5D"/>
    <w:pPr>
      <w:spacing w:line="240" w:lineRule="auto"/>
    </w:pPr>
    <w:rPr>
      <w:szCs w:val="20"/>
    </w:rPr>
  </w:style>
  <w:style w:type="character" w:customStyle="1" w:styleId="CommentaireCar">
    <w:name w:val="Commentaire Car"/>
    <w:basedOn w:val="Policepardfaut"/>
    <w:link w:val="Commentaire"/>
    <w:uiPriority w:val="99"/>
    <w:rsid w:val="007E1B5D"/>
    <w:rPr>
      <w:rFonts w:ascii="Marianne Light" w:hAnsi="Marianne Light"/>
      <w:sz w:val="20"/>
      <w:szCs w:val="20"/>
    </w:rPr>
  </w:style>
  <w:style w:type="paragraph" w:customStyle="1" w:styleId="TableParagraph">
    <w:name w:val="Table Paragraph"/>
    <w:basedOn w:val="Normal"/>
    <w:uiPriority w:val="99"/>
    <w:unhideWhenUsed/>
    <w:qFormat/>
    <w:rsid w:val="007E1B5D"/>
    <w:pPr>
      <w:widowControl w:val="0"/>
      <w:autoSpaceDE w:val="0"/>
      <w:autoSpaceDN w:val="0"/>
      <w:spacing w:before="78" w:after="0" w:line="240" w:lineRule="auto"/>
      <w:ind w:left="132"/>
    </w:pPr>
    <w:rPr>
      <w:rFonts w:eastAsia="Marianne Light" w:cs="Marianne Light"/>
      <w:sz w:val="22"/>
    </w:rPr>
  </w:style>
  <w:style w:type="paragraph" w:customStyle="1" w:styleId="Contenudetableau">
    <w:name w:val="Contenu de tableau"/>
    <w:basedOn w:val="TableParagraph"/>
    <w:uiPriority w:val="2"/>
    <w:rsid w:val="00E66B6A"/>
    <w:pPr>
      <w:spacing w:before="40" w:after="40"/>
      <w:ind w:left="57" w:right="57"/>
    </w:pPr>
    <w:rPr>
      <w:rFonts w:ascii="Marianne Light" w:hAnsi="Marianne Light"/>
      <w:color w:val="231F20"/>
      <w:sz w:val="18"/>
    </w:rPr>
  </w:style>
  <w:style w:type="paragraph" w:styleId="Date">
    <w:name w:val="Date"/>
    <w:basedOn w:val="Normal"/>
    <w:next w:val="Normal"/>
    <w:link w:val="DateCar"/>
    <w:uiPriority w:val="99"/>
    <w:semiHidden/>
    <w:unhideWhenUsed/>
    <w:rsid w:val="007E1B5D"/>
  </w:style>
  <w:style w:type="character" w:customStyle="1" w:styleId="DateCar">
    <w:name w:val="Date Car"/>
    <w:basedOn w:val="Policepardfaut"/>
    <w:link w:val="Date"/>
    <w:uiPriority w:val="99"/>
    <w:semiHidden/>
    <w:rsid w:val="007E1B5D"/>
    <w:rPr>
      <w:rFonts w:ascii="Marianne Light" w:hAnsi="Marianne Light"/>
      <w:sz w:val="20"/>
    </w:rPr>
  </w:style>
  <w:style w:type="paragraph" w:customStyle="1" w:styleId="Encadrcontexte">
    <w:name w:val="Encadré contexte"/>
    <w:basedOn w:val="Normal"/>
    <w:qFormat/>
    <w:rsid w:val="007E1B5D"/>
    <w:pPr>
      <w:pBdr>
        <w:top w:val="single" w:sz="2" w:space="1" w:color="2D1F90"/>
        <w:left w:val="single" w:sz="2" w:space="4" w:color="2D1F90"/>
        <w:bottom w:val="single" w:sz="2" w:space="1" w:color="2D1F90"/>
        <w:right w:val="single" w:sz="2" w:space="4" w:color="2D1F90"/>
      </w:pBdr>
      <w:shd w:val="clear" w:color="auto" w:fill="FEFBF9"/>
      <w:spacing w:before="120" w:after="120" w:line="240" w:lineRule="atLeast"/>
      <w:ind w:left="170"/>
    </w:pPr>
    <w:rPr>
      <w:szCs w:val="21"/>
    </w:rPr>
  </w:style>
  <w:style w:type="paragraph" w:customStyle="1" w:styleId="Encadrcontextetitre">
    <w:name w:val="Encadré contexte (titre)"/>
    <w:basedOn w:val="Normal"/>
    <w:qFormat/>
    <w:rsid w:val="007E1B5D"/>
    <w:pPr>
      <w:pBdr>
        <w:top w:val="single" w:sz="2" w:space="1" w:color="2D1F90"/>
        <w:left w:val="single" w:sz="2" w:space="4" w:color="2D1F90"/>
        <w:bottom w:val="single" w:sz="2" w:space="1" w:color="2D1F90"/>
        <w:right w:val="single" w:sz="2" w:space="4" w:color="2D1F90"/>
      </w:pBdr>
      <w:shd w:val="clear" w:color="auto" w:fill="FEFBF9"/>
      <w:spacing w:before="120" w:after="0"/>
      <w:ind w:left="170"/>
    </w:pPr>
    <w:rPr>
      <w:b/>
      <w:bCs/>
      <w:color w:val="2D1F90"/>
      <w:sz w:val="22"/>
    </w:rPr>
  </w:style>
  <w:style w:type="paragraph" w:customStyle="1" w:styleId="Encadrdocumenttitre">
    <w:name w:val="Encadré document (titre)"/>
    <w:basedOn w:val="Normal"/>
    <w:qFormat/>
    <w:rsid w:val="009F0A7D"/>
    <w:pPr>
      <w:pBdr>
        <w:left w:val="single" w:sz="48" w:space="0" w:color="E0DDEE"/>
      </w:pBdr>
      <w:shd w:val="clear" w:color="auto" w:fill="E0DDEE"/>
      <w:spacing w:before="120" w:after="0" w:line="288" w:lineRule="auto"/>
      <w:ind w:left="170"/>
    </w:pPr>
    <w:rPr>
      <w:rFonts w:ascii="Marianne" w:hAnsi="Marianne"/>
      <w:b/>
      <w:color w:val="2E2090"/>
    </w:rPr>
  </w:style>
  <w:style w:type="paragraph" w:customStyle="1" w:styleId="Encadrdocument">
    <w:name w:val="Encadré document"/>
    <w:basedOn w:val="Encadrdocumenttitre"/>
    <w:qFormat/>
    <w:rsid w:val="007E1B5D"/>
    <w:pPr>
      <w:spacing w:after="120" w:line="240" w:lineRule="atLeast"/>
    </w:pPr>
    <w:rPr>
      <w:rFonts w:ascii="Marianne Light" w:hAnsi="Marianne Light"/>
      <w:b w:val="0"/>
      <w:bCs/>
      <w:color w:val="auto"/>
      <w:sz w:val="18"/>
      <w:szCs w:val="21"/>
    </w:rPr>
  </w:style>
  <w:style w:type="paragraph" w:styleId="En-tte">
    <w:name w:val="header"/>
    <w:basedOn w:val="Encadrfond"/>
    <w:link w:val="En-tteCar"/>
    <w:uiPriority w:val="99"/>
    <w:unhideWhenUsed/>
    <w:rsid w:val="007E1B5D"/>
    <w:pPr>
      <w:shd w:val="clear" w:color="auto" w:fill="E0DDEE"/>
      <w:spacing w:after="0"/>
    </w:pPr>
    <w:rPr>
      <w:rFonts w:ascii="Marianne Medium" w:hAnsi="Marianne Medium"/>
      <w:sz w:val="28"/>
    </w:rPr>
  </w:style>
  <w:style w:type="character" w:customStyle="1" w:styleId="En-tteCar">
    <w:name w:val="En-tête Car"/>
    <w:basedOn w:val="Policepardfaut"/>
    <w:link w:val="En-tte"/>
    <w:uiPriority w:val="99"/>
    <w:rsid w:val="007E1B5D"/>
    <w:rPr>
      <w:rFonts w:ascii="Marianne Medium" w:hAnsi="Marianne Medium"/>
      <w:sz w:val="28"/>
      <w:shd w:val="clear" w:color="auto" w:fill="E0DDEE"/>
    </w:rPr>
  </w:style>
  <w:style w:type="paragraph" w:styleId="En-ttedetabledesmatires">
    <w:name w:val="TOC Heading"/>
    <w:aliases w:val="En-tête Sommaire"/>
    <w:basedOn w:val="Normal"/>
    <w:next w:val="Normal"/>
    <w:uiPriority w:val="39"/>
    <w:unhideWhenUsed/>
    <w:qFormat/>
    <w:rsid w:val="007E1B5D"/>
    <w:pPr>
      <w:ind w:left="426"/>
    </w:pPr>
    <w:rPr>
      <w:rFonts w:ascii="Marianne ExtraBold" w:hAnsi="Marianne ExtraBold"/>
      <w:b/>
      <w:bCs/>
      <w:color w:val="215479"/>
      <w:sz w:val="30"/>
      <w:szCs w:val="30"/>
    </w:rPr>
  </w:style>
  <w:style w:type="table" w:styleId="Grilledetableauclaire">
    <w:name w:val="Grid Table Light"/>
    <w:basedOn w:val="TableauNormal"/>
    <w:uiPriority w:val="40"/>
    <w:rsid w:val="007E1B5D"/>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7E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C0719"/>
    <w:rPr>
      <w:color w:val="2E2090"/>
      <w:u w:val="single"/>
    </w:rPr>
  </w:style>
  <w:style w:type="character" w:styleId="Lienhypertextesuivivisit">
    <w:name w:val="FollowedHyperlink"/>
    <w:semiHidden/>
    <w:rsid w:val="007E1B5D"/>
    <w:rPr>
      <w:color w:val="800080"/>
      <w:u w:val="single"/>
    </w:rPr>
  </w:style>
  <w:style w:type="table" w:styleId="Listeclaire-Accent4">
    <w:name w:val="Light List Accent 4"/>
    <w:basedOn w:val="TableauNormal"/>
    <w:uiPriority w:val="61"/>
    <w:rsid w:val="007E1B5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Listetableau">
    <w:name w:val="Liste tableau"/>
    <w:basedOn w:val="TableParagraph"/>
    <w:uiPriority w:val="2"/>
    <w:qFormat/>
    <w:rsid w:val="007E1B5D"/>
    <w:pPr>
      <w:numPr>
        <w:numId w:val="1"/>
      </w:numPr>
      <w:spacing w:before="0" w:after="40"/>
      <w:ind w:right="811"/>
      <w:contextualSpacing/>
    </w:pPr>
    <w:rPr>
      <w:color w:val="231F20"/>
      <w:sz w:val="18"/>
    </w:rPr>
  </w:style>
  <w:style w:type="character" w:styleId="Marquedecommentaire">
    <w:name w:val="annotation reference"/>
    <w:rsid w:val="007E1B5D"/>
    <w:rPr>
      <w:sz w:val="16"/>
      <w:szCs w:val="16"/>
    </w:rPr>
  </w:style>
  <w:style w:type="character" w:customStyle="1" w:styleId="Mentionnonrsolue1">
    <w:name w:val="Mention non résolue1"/>
    <w:basedOn w:val="Policepardfaut"/>
    <w:uiPriority w:val="99"/>
    <w:semiHidden/>
    <w:unhideWhenUsed/>
    <w:rsid w:val="007E1B5D"/>
    <w:rPr>
      <w:color w:val="605E5C"/>
      <w:shd w:val="clear" w:color="auto" w:fill="E1DFDD"/>
    </w:rPr>
  </w:style>
  <w:style w:type="paragraph" w:styleId="NormalWeb">
    <w:name w:val="Normal (Web)"/>
    <w:basedOn w:val="Normal"/>
    <w:uiPriority w:val="99"/>
    <w:unhideWhenUsed/>
    <w:rsid w:val="007E1B5D"/>
    <w:pPr>
      <w:spacing w:line="240" w:lineRule="auto"/>
    </w:pPr>
    <w:rPr>
      <w:rFonts w:ascii="Times New Roman" w:eastAsia="Times New Roman" w:hAnsi="Times New Roman" w:cs="Times New Roman"/>
      <w:lang w:eastAsia="fr-FR"/>
    </w:rPr>
  </w:style>
  <w:style w:type="paragraph" w:styleId="Notedebasdepage">
    <w:name w:val="footnote text"/>
    <w:basedOn w:val="Normal"/>
    <w:link w:val="NotedebasdepageCar"/>
    <w:uiPriority w:val="4"/>
    <w:rsid w:val="007E1B5D"/>
    <w:pPr>
      <w:spacing w:after="120" w:line="240" w:lineRule="auto"/>
      <w:ind w:left="113" w:hanging="113"/>
      <w:contextualSpacing/>
    </w:pPr>
    <w:rPr>
      <w:sz w:val="16"/>
      <w:szCs w:val="20"/>
    </w:rPr>
  </w:style>
  <w:style w:type="character" w:customStyle="1" w:styleId="NotedebasdepageCar">
    <w:name w:val="Note de bas de page Car"/>
    <w:basedOn w:val="Policepardfaut"/>
    <w:link w:val="Notedebasdepage"/>
    <w:uiPriority w:val="4"/>
    <w:rsid w:val="007E1B5D"/>
    <w:rPr>
      <w:rFonts w:ascii="Marianne Light" w:hAnsi="Marianne Light"/>
      <w:sz w:val="16"/>
      <w:szCs w:val="20"/>
    </w:rPr>
  </w:style>
  <w:style w:type="paragraph" w:styleId="Notedefin">
    <w:name w:val="endnote text"/>
    <w:basedOn w:val="Normal"/>
    <w:link w:val="NotedefinCar"/>
    <w:uiPriority w:val="99"/>
    <w:semiHidden/>
    <w:unhideWhenUsed/>
    <w:rsid w:val="007E1B5D"/>
    <w:pPr>
      <w:spacing w:after="0" w:line="240" w:lineRule="auto"/>
    </w:pPr>
    <w:rPr>
      <w:szCs w:val="20"/>
    </w:rPr>
  </w:style>
  <w:style w:type="character" w:customStyle="1" w:styleId="NotedefinCar">
    <w:name w:val="Note de fin Car"/>
    <w:basedOn w:val="Policepardfaut"/>
    <w:link w:val="Notedefin"/>
    <w:uiPriority w:val="99"/>
    <w:semiHidden/>
    <w:rsid w:val="007E1B5D"/>
    <w:rPr>
      <w:rFonts w:ascii="Marianne Light" w:hAnsi="Marianne Light"/>
      <w:sz w:val="20"/>
      <w:szCs w:val="20"/>
    </w:rPr>
  </w:style>
  <w:style w:type="paragraph" w:styleId="Objetducommentaire">
    <w:name w:val="annotation subject"/>
    <w:basedOn w:val="Commentaire"/>
    <w:next w:val="Commentaire"/>
    <w:link w:val="ObjetducommentaireCar"/>
    <w:uiPriority w:val="99"/>
    <w:semiHidden/>
    <w:unhideWhenUsed/>
    <w:rsid w:val="007E1B5D"/>
    <w:rPr>
      <w:b/>
      <w:bCs/>
    </w:rPr>
  </w:style>
  <w:style w:type="character" w:customStyle="1" w:styleId="ObjetducommentaireCar">
    <w:name w:val="Objet du commentaire Car"/>
    <w:basedOn w:val="CommentaireCar"/>
    <w:link w:val="Objetducommentaire"/>
    <w:uiPriority w:val="99"/>
    <w:semiHidden/>
    <w:rsid w:val="007E1B5D"/>
    <w:rPr>
      <w:rFonts w:ascii="Marianne Light" w:hAnsi="Marianne Light"/>
      <w:b/>
      <w:bCs/>
      <w:sz w:val="20"/>
      <w:szCs w:val="20"/>
    </w:rPr>
  </w:style>
  <w:style w:type="paragraph" w:styleId="Paragraphedeliste">
    <w:name w:val="List Paragraph"/>
    <w:basedOn w:val="Normal"/>
    <w:link w:val="ParagraphedelisteCar"/>
    <w:qFormat/>
    <w:rsid w:val="007E1B5D"/>
    <w:pPr>
      <w:numPr>
        <w:numId w:val="2"/>
      </w:numPr>
      <w:contextualSpacing/>
    </w:pPr>
  </w:style>
  <w:style w:type="character" w:customStyle="1" w:styleId="ParagraphedelisteCar">
    <w:name w:val="Paragraphe de liste Car"/>
    <w:link w:val="Paragraphedeliste"/>
    <w:rsid w:val="007E1B5D"/>
    <w:rPr>
      <w:rFonts w:ascii="Marianne Light" w:hAnsi="Marianne Light"/>
      <w:sz w:val="20"/>
    </w:rPr>
  </w:style>
  <w:style w:type="paragraph" w:styleId="Pieddepage">
    <w:name w:val="footer"/>
    <w:basedOn w:val="Normal"/>
    <w:link w:val="PieddepageCar"/>
    <w:uiPriority w:val="99"/>
    <w:unhideWhenUsed/>
    <w:rsid w:val="007E1B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1B5D"/>
    <w:rPr>
      <w:rFonts w:ascii="Marianne Light" w:hAnsi="Marianne Light"/>
      <w:sz w:val="20"/>
    </w:rPr>
  </w:style>
  <w:style w:type="paragraph" w:styleId="Sous-titre">
    <w:name w:val="Subtitle"/>
    <w:basedOn w:val="Normal"/>
    <w:next w:val="Normal"/>
    <w:link w:val="Sous-titreCar"/>
    <w:uiPriority w:val="9"/>
    <w:rsid w:val="007E1B5D"/>
    <w:pPr>
      <w:jc w:val="center"/>
    </w:pPr>
    <w:rPr>
      <w:sz w:val="26"/>
      <w:szCs w:val="26"/>
    </w:rPr>
  </w:style>
  <w:style w:type="character" w:customStyle="1" w:styleId="Sous-titreCar">
    <w:name w:val="Sous-titre Car"/>
    <w:basedOn w:val="Policepardfaut"/>
    <w:link w:val="Sous-titre"/>
    <w:uiPriority w:val="9"/>
    <w:rsid w:val="007E1B5D"/>
    <w:rPr>
      <w:rFonts w:ascii="Marianne Light" w:hAnsi="Marianne Light"/>
      <w:sz w:val="26"/>
      <w:szCs w:val="26"/>
    </w:rPr>
  </w:style>
  <w:style w:type="table" w:customStyle="1" w:styleId="TableNormal">
    <w:name w:val="Table Normal"/>
    <w:uiPriority w:val="2"/>
    <w:semiHidden/>
    <w:unhideWhenUsed/>
    <w:qFormat/>
    <w:rsid w:val="007E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7E1B5D"/>
    <w:pPr>
      <w:spacing w:before="40" w:after="0" w:line="240" w:lineRule="auto"/>
      <w:ind w:left="113" w:right="113"/>
    </w:pPr>
    <w:rPr>
      <w:rFonts w:ascii="Arial" w:hAnsi="Arial"/>
      <w:sz w:val="17"/>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7E1B5D"/>
    <w:pPr>
      <w:spacing w:after="0" w:line="240" w:lineRule="auto"/>
    </w:pPr>
    <w:rPr>
      <w:rFonts w:ascii="Marianne Light" w:eastAsiaTheme="minorEastAsia" w:hAnsi="Marianne Light"/>
      <w:sz w:val="18"/>
      <w:lang w:eastAsia="zh-CN"/>
    </w:rPr>
    <w:tblPr>
      <w:tblBorders>
        <w:insideH w:val="single" w:sz="4" w:space="0" w:color="215479"/>
        <w:insideV w:val="single" w:sz="4" w:space="0" w:color="215479"/>
      </w:tblBorders>
    </w:tblPr>
    <w:tcPr>
      <w:shd w:val="clear" w:color="auto" w:fill="auto"/>
    </w:tcPr>
    <w:tblStylePr w:type="firstRow">
      <w:pPr>
        <w:wordWrap/>
        <w:snapToGrid w:val="0"/>
        <w:spacing w:beforeLines="0" w:before="40" w:beforeAutospacing="0" w:afterLines="0" w:after="40" w:afterAutospacing="0" w:line="240" w:lineRule="auto"/>
        <w:ind w:leftChars="0" w:left="57" w:rightChars="0" w:right="57"/>
        <w:contextualSpacing/>
        <w:jc w:val="left"/>
        <w:outlineLvl w:val="4"/>
      </w:pPr>
      <w:rPr>
        <w:rFonts w:ascii="Marianne" w:hAnsi="Marianne"/>
        <w:b/>
        <w:i w:val="0"/>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7E1B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1B5D"/>
    <w:rPr>
      <w:rFonts w:ascii="Tahoma" w:hAnsi="Tahoma" w:cs="Tahoma"/>
      <w:sz w:val="16"/>
      <w:szCs w:val="16"/>
    </w:rPr>
  </w:style>
  <w:style w:type="character" w:styleId="Textedelespacerserv">
    <w:name w:val="Placeholder Text"/>
    <w:basedOn w:val="Policepardfaut"/>
    <w:uiPriority w:val="99"/>
    <w:semiHidden/>
    <w:rsid w:val="007E1B5D"/>
    <w:rPr>
      <w:color w:val="808080"/>
    </w:rPr>
  </w:style>
  <w:style w:type="paragraph" w:customStyle="1" w:styleId="Titretableau">
    <w:name w:val="Titre tableau"/>
    <w:basedOn w:val="Normal"/>
    <w:uiPriority w:val="1"/>
    <w:qFormat/>
    <w:rsid w:val="007E1B5D"/>
    <w:pPr>
      <w:widowControl w:val="0"/>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Titre">
    <w:name w:val="Title"/>
    <w:aliases w:val="Titre fiche"/>
    <w:basedOn w:val="Normal"/>
    <w:next w:val="Normal"/>
    <w:link w:val="TitreCar"/>
    <w:uiPriority w:val="7"/>
    <w:qFormat/>
    <w:rsid w:val="007E1B5D"/>
    <w:pPr>
      <w:jc w:val="center"/>
    </w:pPr>
    <w:rPr>
      <w:rFonts w:ascii="Marianne" w:hAnsi="Marianne"/>
      <w:b/>
      <w:bCs/>
      <w:color w:val="2E2090"/>
      <w:sz w:val="36"/>
      <w:szCs w:val="36"/>
    </w:rPr>
  </w:style>
  <w:style w:type="character" w:customStyle="1" w:styleId="TitreCar">
    <w:name w:val="Titre Car"/>
    <w:aliases w:val="Titre fiche Car"/>
    <w:basedOn w:val="Policepardfaut"/>
    <w:link w:val="Titre"/>
    <w:uiPriority w:val="7"/>
    <w:rsid w:val="007E1B5D"/>
    <w:rPr>
      <w:rFonts w:ascii="Marianne" w:hAnsi="Marianne"/>
      <w:b/>
      <w:bCs/>
      <w:color w:val="2E2090"/>
      <w:sz w:val="36"/>
      <w:szCs w:val="36"/>
    </w:rPr>
  </w:style>
  <w:style w:type="paragraph" w:styleId="TM1">
    <w:name w:val="toc 1"/>
    <w:basedOn w:val="Normal"/>
    <w:next w:val="Normal"/>
    <w:autoRedefine/>
    <w:uiPriority w:val="39"/>
    <w:unhideWhenUsed/>
    <w:rsid w:val="007E1B5D"/>
    <w:pPr>
      <w:tabs>
        <w:tab w:val="right" w:pos="8222"/>
      </w:tabs>
    </w:pPr>
    <w:rPr>
      <w:rFonts w:ascii="Marianne" w:hAnsi="Marianne"/>
      <w:b/>
      <w:bCs/>
      <w:color w:val="215479"/>
      <w:szCs w:val="32"/>
    </w:rPr>
  </w:style>
  <w:style w:type="paragraph" w:styleId="TM3">
    <w:name w:val="toc 3"/>
    <w:basedOn w:val="Normal"/>
    <w:next w:val="Normal"/>
    <w:autoRedefine/>
    <w:uiPriority w:val="39"/>
    <w:unhideWhenUsed/>
    <w:rsid w:val="007E1B5D"/>
    <w:pPr>
      <w:tabs>
        <w:tab w:val="right" w:leader="dot" w:pos="8222"/>
      </w:tabs>
      <w:ind w:left="993"/>
    </w:pPr>
    <w:rPr>
      <w:sz w:val="18"/>
      <w:szCs w:val="21"/>
    </w:rPr>
  </w:style>
  <w:style w:type="paragraph" w:styleId="TM2">
    <w:name w:val="toc 2"/>
    <w:basedOn w:val="TM3"/>
    <w:next w:val="Normal"/>
    <w:autoRedefine/>
    <w:uiPriority w:val="39"/>
    <w:unhideWhenUsed/>
    <w:rsid w:val="007E1B5D"/>
    <w:pPr>
      <w:numPr>
        <w:numId w:val="3"/>
      </w:numPr>
      <w:tabs>
        <w:tab w:val="right" w:pos="8222"/>
      </w:tabs>
    </w:pPr>
  </w:style>
  <w:style w:type="paragraph" w:customStyle="1" w:styleId="Contenutableau">
    <w:name w:val="Contenu tableau"/>
    <w:basedOn w:val="Normal"/>
    <w:qFormat/>
    <w:rsid w:val="007E1B5D"/>
    <w:pPr>
      <w:widowControl w:val="0"/>
      <w:suppressAutoHyphens/>
      <w:spacing w:before="40" w:after="40" w:line="240" w:lineRule="auto"/>
    </w:pPr>
    <w:rPr>
      <w:rFonts w:ascii="Marianne" w:eastAsia="Calibri" w:hAnsi="Marianne" w:cstheme="minorHAnsi"/>
      <w:sz w:val="18"/>
      <w:szCs w:val="18"/>
      <w:lang w:eastAsia="fr-FR"/>
    </w:rPr>
  </w:style>
  <w:style w:type="paragraph" w:styleId="Rvision">
    <w:name w:val="Revision"/>
    <w:hidden/>
    <w:uiPriority w:val="99"/>
    <w:semiHidden/>
    <w:rsid w:val="007E1B5D"/>
    <w:pPr>
      <w:spacing w:after="0" w:line="240" w:lineRule="auto"/>
    </w:pPr>
    <w:rPr>
      <w:rFonts w:ascii="Marianne Light" w:hAnsi="Marianne Light"/>
      <w:sz w:val="20"/>
    </w:rPr>
  </w:style>
  <w:style w:type="paragraph" w:customStyle="1" w:styleId="name-article">
    <w:name w:val="name-article"/>
    <w:basedOn w:val="Normal"/>
    <w:rsid w:val="007E1B5D"/>
    <w:pPr>
      <w:spacing w:line="240" w:lineRule="auto"/>
    </w:pPr>
    <w:rPr>
      <w:rFonts w:ascii="Times New Roman" w:eastAsia="Times New Roman" w:hAnsi="Times New Roman" w:cs="Times New Roman"/>
      <w:lang w:eastAsia="fr-FR"/>
    </w:rPr>
  </w:style>
  <w:style w:type="paragraph" w:customStyle="1" w:styleId="Pucestableau">
    <w:name w:val="Puces tableau"/>
    <w:basedOn w:val="Normal"/>
    <w:qFormat/>
    <w:rsid w:val="007E1B5D"/>
    <w:pPr>
      <w:widowControl w:val="0"/>
      <w:numPr>
        <w:numId w:val="4"/>
      </w:numPr>
      <w:suppressAutoHyphens/>
      <w:spacing w:before="40" w:after="40" w:line="240" w:lineRule="auto"/>
      <w:ind w:left="170" w:hanging="170"/>
      <w:contextualSpacing/>
    </w:pPr>
    <w:rPr>
      <w:rFonts w:ascii="Marianne" w:hAnsi="Marianne" w:cstheme="minorHAnsi"/>
      <w:sz w:val="17"/>
      <w:szCs w:val="18"/>
      <w:lang w:eastAsia="fr-FR"/>
    </w:rPr>
  </w:style>
  <w:style w:type="paragraph" w:customStyle="1" w:styleId="Standard">
    <w:name w:val="Standard"/>
    <w:rsid w:val="007E1B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WW">
    <w:name w:val="Standard (WW)"/>
    <w:rsid w:val="007E1B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ootnote">
    <w:name w:val="Footnote"/>
    <w:basedOn w:val="Standard"/>
    <w:rsid w:val="007E1B5D"/>
    <w:pPr>
      <w:suppressLineNumbers/>
      <w:ind w:left="340" w:hanging="340"/>
    </w:pPr>
    <w:rPr>
      <w:sz w:val="20"/>
      <w:szCs w:val="20"/>
    </w:rPr>
  </w:style>
  <w:style w:type="character" w:customStyle="1" w:styleId="StrongEmphasisWW">
    <w:name w:val="Strong Emphasis (WW)"/>
    <w:rsid w:val="007E1B5D"/>
    <w:rPr>
      <w:b/>
      <w:bCs/>
    </w:rPr>
  </w:style>
  <w:style w:type="character" w:customStyle="1" w:styleId="Mentionnonrsolue2">
    <w:name w:val="Mention non résolue2"/>
    <w:basedOn w:val="Policepardfaut"/>
    <w:uiPriority w:val="99"/>
    <w:semiHidden/>
    <w:unhideWhenUsed/>
    <w:rsid w:val="007E1B5D"/>
    <w:rPr>
      <w:color w:val="605E5C"/>
      <w:shd w:val="clear" w:color="auto" w:fill="E1DFDD"/>
    </w:rPr>
  </w:style>
  <w:style w:type="character" w:customStyle="1" w:styleId="Mentionnonrsolue3">
    <w:name w:val="Mention non résolue3"/>
    <w:basedOn w:val="Policepardfaut"/>
    <w:uiPriority w:val="99"/>
    <w:semiHidden/>
    <w:unhideWhenUsed/>
    <w:rsid w:val="007E1B5D"/>
    <w:rPr>
      <w:color w:val="605E5C"/>
      <w:shd w:val="clear" w:color="auto" w:fill="E1DFDD"/>
    </w:rPr>
  </w:style>
  <w:style w:type="character" w:customStyle="1" w:styleId="Mentionnonrsolue4">
    <w:name w:val="Mention non résolue4"/>
    <w:basedOn w:val="Policepardfaut"/>
    <w:uiPriority w:val="99"/>
    <w:semiHidden/>
    <w:unhideWhenUsed/>
    <w:rsid w:val="007E1B5D"/>
    <w:rPr>
      <w:color w:val="605E5C"/>
      <w:shd w:val="clear" w:color="auto" w:fill="E1DFDD"/>
    </w:rPr>
  </w:style>
  <w:style w:type="paragraph" w:styleId="Sansinterligne">
    <w:name w:val="No Spacing"/>
    <w:uiPriority w:val="1"/>
    <w:qFormat/>
    <w:rsid w:val="007E1B5D"/>
    <w:pPr>
      <w:spacing w:after="0" w:line="240" w:lineRule="auto"/>
    </w:pPr>
  </w:style>
  <w:style w:type="character" w:styleId="lev">
    <w:name w:val="Strong"/>
    <w:basedOn w:val="Policepardfaut"/>
    <w:uiPriority w:val="22"/>
    <w:qFormat/>
    <w:rsid w:val="007E1B5D"/>
    <w:rPr>
      <w:b/>
      <w:bCs/>
    </w:rPr>
  </w:style>
  <w:style w:type="character" w:customStyle="1" w:styleId="familyname">
    <w:name w:val="familyname"/>
    <w:basedOn w:val="Policepardfaut"/>
    <w:rsid w:val="007E1B5D"/>
  </w:style>
  <w:style w:type="character" w:styleId="Accentuation">
    <w:name w:val="Emphasis"/>
    <w:basedOn w:val="Policepardfaut"/>
    <w:uiPriority w:val="20"/>
    <w:qFormat/>
    <w:rsid w:val="007E1B5D"/>
    <w:rPr>
      <w:i/>
      <w:iCs/>
    </w:rPr>
  </w:style>
  <w:style w:type="character" w:customStyle="1" w:styleId="mx-1">
    <w:name w:val="mx-1"/>
    <w:basedOn w:val="Policepardfaut"/>
    <w:rsid w:val="007E1B5D"/>
  </w:style>
  <w:style w:type="character" w:customStyle="1" w:styleId="Mentionnonrsolue5">
    <w:name w:val="Mention non résolue5"/>
    <w:basedOn w:val="Policepardfaut"/>
    <w:uiPriority w:val="99"/>
    <w:semiHidden/>
    <w:unhideWhenUsed/>
    <w:rsid w:val="007E1B5D"/>
    <w:rPr>
      <w:color w:val="605E5C"/>
      <w:shd w:val="clear" w:color="auto" w:fill="E1DFDD"/>
    </w:rPr>
  </w:style>
  <w:style w:type="character" w:styleId="Mentionnonrsolue">
    <w:name w:val="Unresolved Mention"/>
    <w:basedOn w:val="Policepardfaut"/>
    <w:uiPriority w:val="99"/>
    <w:semiHidden/>
    <w:unhideWhenUsed/>
    <w:rsid w:val="007E1B5D"/>
    <w:rPr>
      <w:color w:val="605E5C"/>
      <w:shd w:val="clear" w:color="auto" w:fill="E1DFDD"/>
    </w:rPr>
  </w:style>
  <w:style w:type="character" w:customStyle="1" w:styleId="Heading8Char">
    <w:name w:val="Heading 8 Char"/>
    <w:basedOn w:val="Policepardfaut"/>
    <w:uiPriority w:val="9"/>
    <w:rsid w:val="007E1B5D"/>
    <w:rPr>
      <w:rFonts w:ascii="Arial" w:eastAsia="Arial" w:hAnsi="Arial" w:cs="Arial"/>
      <w:i/>
      <w:iCs/>
      <w:color w:val="272727" w:themeColor="text1" w:themeTint="D8"/>
    </w:rPr>
  </w:style>
  <w:style w:type="paragraph" w:customStyle="1" w:styleId="Titredecollection">
    <w:name w:val="Titre de collection"/>
    <w:basedOn w:val="Normal"/>
    <w:qFormat/>
    <w:rsid w:val="007E1B5D"/>
    <w:pPr>
      <w:suppressAutoHyphens/>
    </w:pPr>
    <w:rPr>
      <w:sz w:val="48"/>
      <w:szCs w:val="48"/>
    </w:rPr>
  </w:style>
  <w:style w:type="paragraph" w:customStyle="1" w:styleId="Titredudocument">
    <w:name w:val="Titre du document"/>
    <w:basedOn w:val="Normal"/>
    <w:qFormat/>
    <w:rsid w:val="007E1B5D"/>
    <w:pPr>
      <w:suppressAutoHyphens/>
    </w:pPr>
    <w:rPr>
      <w:rFonts w:ascii="Marianne Medium" w:hAnsi="Marianne Medium"/>
      <w:sz w:val="56"/>
      <w:szCs w:val="56"/>
    </w:rPr>
  </w:style>
  <w:style w:type="table" w:customStyle="1" w:styleId="TableauEn-tte">
    <w:name w:val="Tableau En-tête"/>
    <w:basedOn w:val="TableauNormal"/>
    <w:uiPriority w:val="99"/>
    <w:rsid w:val="007E1B5D"/>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7E1B5D"/>
    <w:pPr>
      <w:pBdr>
        <w:top w:val="dotted" w:sz="4" w:space="1" w:color="auto"/>
        <w:left w:val="dotted" w:sz="4" w:space="4" w:color="auto"/>
        <w:bottom w:val="dotted" w:sz="4" w:space="1" w:color="auto"/>
        <w:right w:val="dotted" w:sz="4" w:space="4" w:color="auto"/>
      </w:pBdr>
      <w:spacing w:before="240"/>
      <w:ind w:left="284" w:right="284"/>
    </w:pPr>
  </w:style>
  <w:style w:type="table" w:styleId="Ombrageclair">
    <w:name w:val="Light Shading"/>
    <w:basedOn w:val="TableauNormal"/>
    <w:uiPriority w:val="60"/>
    <w:rsid w:val="007E1B5D"/>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7E1B5D"/>
    <w:pPr>
      <w:spacing w:before="120" w:after="120"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7E1B5D"/>
    <w:pPr>
      <w:pBdr>
        <w:left w:val="single" w:sz="24" w:space="4" w:color="465F9D"/>
      </w:pBdr>
    </w:pPr>
    <w:rPr>
      <w:b/>
    </w:rPr>
  </w:style>
  <w:style w:type="paragraph" w:customStyle="1" w:styleId="Encartsimple">
    <w:name w:val="Encart simple"/>
    <w:basedOn w:val="Encartgras"/>
    <w:qFormat/>
    <w:rsid w:val="007E1B5D"/>
    <w:rPr>
      <w:b w:val="0"/>
      <w:lang w:val="la-Latn"/>
    </w:rPr>
  </w:style>
  <w:style w:type="paragraph" w:customStyle="1" w:styleId="Enttedecolonnetableau">
    <w:name w:val="Ent^te de colonne tableau"/>
    <w:basedOn w:val="Normal"/>
    <w:qFormat/>
    <w:rsid w:val="007E1B5D"/>
    <w:rPr>
      <w:b/>
      <w:color w:val="465F9D"/>
    </w:rPr>
  </w:style>
  <w:style w:type="paragraph" w:customStyle="1" w:styleId="Enttelignetableau">
    <w:name w:val="Entête ligne tableau"/>
    <w:basedOn w:val="Normal"/>
    <w:qFormat/>
    <w:rsid w:val="007E1B5D"/>
    <w:rPr>
      <w:b/>
      <w:color w:val="465F9D"/>
    </w:rPr>
  </w:style>
  <w:style w:type="paragraph" w:customStyle="1" w:styleId="Encadrfond">
    <w:name w:val="Encadré fond"/>
    <w:basedOn w:val="Normal"/>
    <w:qFormat/>
    <w:rsid w:val="007E1B5D"/>
    <w:pPr>
      <w:shd w:val="clear" w:color="auto" w:fill="DDD9F7"/>
    </w:pPr>
  </w:style>
  <w:style w:type="paragraph" w:customStyle="1" w:styleId="Default">
    <w:name w:val="Default"/>
    <w:rsid w:val="007E1B5D"/>
    <w:pPr>
      <w:autoSpaceDE w:val="0"/>
      <w:autoSpaceDN w:val="0"/>
      <w:adjustRightInd w:val="0"/>
      <w:spacing w:after="0" w:line="240" w:lineRule="auto"/>
    </w:pPr>
    <w:rPr>
      <w:rFonts w:ascii="Georgia" w:hAnsi="Georgia" w:cs="Georgia"/>
      <w:color w:val="000000"/>
      <w:sz w:val="24"/>
      <w:szCs w:val="24"/>
    </w:rPr>
  </w:style>
  <w:style w:type="character" w:customStyle="1" w:styleId="lang-grc">
    <w:name w:val="lang-grc"/>
    <w:basedOn w:val="Policepardfaut"/>
    <w:rsid w:val="007E1B5D"/>
  </w:style>
  <w:style w:type="paragraph" w:customStyle="1" w:styleId="Entte2">
    <w:name w:val="Entête 2"/>
    <w:basedOn w:val="Normal"/>
    <w:qFormat/>
    <w:rsid w:val="007E1B5D"/>
    <w:pPr>
      <w:tabs>
        <w:tab w:val="center" w:pos="4536"/>
        <w:tab w:val="right" w:pos="9072"/>
      </w:tabs>
      <w:spacing w:before="50" w:after="0" w:line="240" w:lineRule="auto"/>
      <w:ind w:left="1843"/>
    </w:pPr>
    <w:rPr>
      <w:rFonts w:ascii="DINPro-Bold" w:hAnsi="DINPro-Bold"/>
      <w:color w:val="FFFFFF" w:themeColor="background1"/>
      <w:sz w:val="16"/>
    </w:rPr>
  </w:style>
  <w:style w:type="table" w:styleId="Tramemoyenne1-Accent4">
    <w:name w:val="Medium Shading 1 Accent 4"/>
    <w:basedOn w:val="TableauNormal"/>
    <w:uiPriority w:val="63"/>
    <w:rsid w:val="007E1B5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customStyle="1" w:styleId="PieddePageEntteTtirePieddepage">
    <w:name w:val="Pied de Page (Entête / Têtière / Pied de page)"/>
    <w:basedOn w:val="Normal"/>
    <w:uiPriority w:val="99"/>
    <w:rsid w:val="007E1B5D"/>
    <w:pPr>
      <w:spacing w:before="120" w:after="227"/>
    </w:pPr>
    <w:rPr>
      <w:rFonts w:ascii="VAG Rounded Bold" w:hAnsi="VAG Rounded Bold" w:cs="VAG Rounded Bold"/>
      <w:b/>
      <w:bCs/>
      <w:color w:val="000000"/>
      <w:szCs w:val="20"/>
    </w:rPr>
  </w:style>
  <w:style w:type="character" w:customStyle="1" w:styleId="PieddepageMENEntteTtirePieddepage">
    <w:name w:val="Pied de page MEN (Entête / Têtière / Pied de page)"/>
    <w:uiPriority w:val="99"/>
    <w:rsid w:val="007E1B5D"/>
    <w:rPr>
      <w:rFonts w:ascii="Marianne" w:hAnsi="Marianne" w:cs="Marianne"/>
      <w:sz w:val="14"/>
      <w:szCs w:val="14"/>
    </w:rPr>
  </w:style>
  <w:style w:type="paragraph" w:customStyle="1" w:styleId="C0Encadrcontexte">
    <w:name w:val="C0 Encadré contexte"/>
    <w:basedOn w:val="Normal"/>
    <w:qFormat/>
    <w:rsid w:val="007E1B5D"/>
    <w:pPr>
      <w:pBdr>
        <w:top w:val="single" w:sz="48" w:space="14" w:color="FFFFFF" w:themeColor="background1"/>
        <w:left w:val="single" w:sz="36" w:space="11" w:color="39368F"/>
        <w:bottom w:val="single" w:sz="48" w:space="14" w:color="FFFFFF" w:themeColor="background1"/>
        <w:right w:val="single" w:sz="48" w:space="0" w:color="FFFFFF" w:themeColor="background1"/>
      </w:pBdr>
      <w:shd w:val="solid" w:color="EBEBF4" w:fill="auto"/>
      <w:spacing w:before="120" w:after="120" w:line="240" w:lineRule="auto"/>
      <w:ind w:left="340"/>
      <w:contextualSpacing/>
    </w:pPr>
    <w:rPr>
      <w:rFonts w:ascii="Marianne" w:hAnsi="Marianne"/>
    </w:rPr>
  </w:style>
  <w:style w:type="paragraph" w:customStyle="1" w:styleId="C3Encadrcontexte">
    <w:name w:val="C3 Encadré contexte"/>
    <w:basedOn w:val="Normal"/>
    <w:qFormat/>
    <w:rsid w:val="007E1B5D"/>
    <w:pPr>
      <w:pBdr>
        <w:top w:val="single" w:sz="48" w:space="14" w:color="FFFFFF" w:themeColor="background1"/>
        <w:left w:val="single" w:sz="36" w:space="11" w:color="33AE90"/>
        <w:bottom w:val="single" w:sz="48" w:space="14" w:color="FFFFFF" w:themeColor="background1"/>
        <w:right w:val="single" w:sz="48" w:space="0" w:color="FFFFFF" w:themeColor="background1"/>
      </w:pBdr>
      <w:shd w:val="solid" w:color="EAF7F4" w:fill="auto"/>
      <w:spacing w:before="120" w:after="120" w:line="240" w:lineRule="auto"/>
      <w:ind w:left="340"/>
      <w:contextualSpacing/>
    </w:pPr>
    <w:rPr>
      <w:rFonts w:ascii="Marianne" w:hAnsi="Marianne"/>
    </w:rPr>
  </w:style>
  <w:style w:type="character" w:styleId="Titredulivre">
    <w:name w:val="Book Title"/>
    <w:basedOn w:val="Policepardfaut"/>
    <w:uiPriority w:val="33"/>
    <w:qFormat/>
    <w:rsid w:val="007E1B5D"/>
    <w:rPr>
      <w:b/>
      <w:bCs/>
      <w:i/>
      <w:iCs/>
      <w:spacing w:val="5"/>
    </w:rPr>
  </w:style>
  <w:style w:type="paragraph" w:customStyle="1" w:styleId="Tiretstableau">
    <w:name w:val="Tirets tableau"/>
    <w:basedOn w:val="Paragraphedeliste"/>
    <w:qFormat/>
    <w:rsid w:val="007E1B5D"/>
    <w:pPr>
      <w:numPr>
        <w:numId w:val="6"/>
      </w:numPr>
      <w:tabs>
        <w:tab w:val="num" w:pos="360"/>
      </w:tabs>
      <w:suppressAutoHyphens/>
      <w:spacing w:before="40" w:after="40" w:line="240" w:lineRule="auto"/>
      <w:ind w:left="170" w:hanging="170"/>
    </w:pPr>
    <w:rPr>
      <w:rFonts w:ascii="Marianne" w:eastAsia="Times" w:hAnsi="Marianne" w:cs="Times"/>
      <w:sz w:val="17"/>
      <w:szCs w:val="18"/>
      <w:lang w:eastAsia="fr-FR"/>
    </w:rPr>
  </w:style>
  <w:style w:type="paragraph" w:customStyle="1" w:styleId="Enteteage">
    <w:name w:val="Entete age"/>
    <w:basedOn w:val="Encadrfond"/>
    <w:qFormat/>
    <w:rsid w:val="007E1B5D"/>
    <w:pPr>
      <w:shd w:val="clear" w:color="auto" w:fill="E0DDEE"/>
      <w:spacing w:after="0"/>
      <w:jc w:val="right"/>
    </w:pPr>
    <w:rPr>
      <w:rFonts w:ascii="Marianne Medium" w:hAnsi="Marianne Medium"/>
      <w:sz w:val="36"/>
      <w:shd w:val="clear" w:color="auto" w:fill="FFFFFF" w:themeFill="background1"/>
    </w:rPr>
  </w:style>
  <w:style w:type="paragraph" w:customStyle="1" w:styleId="ENCADRETITRE">
    <w:name w:val="ENCADRE TITRE"/>
    <w:basedOn w:val="Encadrfond"/>
    <w:qFormat/>
    <w:rsid w:val="007E1B5D"/>
    <w:rPr>
      <w:b/>
      <w:sz w:val="22"/>
    </w:rPr>
  </w:style>
  <w:style w:type="table" w:customStyle="1" w:styleId="Style1">
    <w:name w:val="Style1"/>
    <w:basedOn w:val="TableauNormal"/>
    <w:uiPriority w:val="99"/>
    <w:rsid w:val="007E1B5D"/>
    <w:pPr>
      <w:spacing w:after="0" w:line="240" w:lineRule="auto"/>
    </w:pPr>
    <w:rPr>
      <w:rFonts w:ascii="Marianne Light" w:eastAsia="Calibri" w:hAnsi="Marianne Light" w:cs="Times New Roman"/>
      <w:sz w:val="20"/>
      <w:szCs w:val="20"/>
      <w:lang w:eastAsia="fr-FR"/>
    </w:rPr>
    <w:tblPr>
      <w:tblBorders>
        <w:top w:val="single" w:sz="4" w:space="0" w:color="2D1F90"/>
        <w:left w:val="single" w:sz="4" w:space="0" w:color="2D1F90"/>
        <w:bottom w:val="single" w:sz="4" w:space="0" w:color="2D1F90"/>
        <w:right w:val="single" w:sz="4" w:space="0" w:color="2D1F90"/>
        <w:insideH w:val="single" w:sz="4" w:space="0" w:color="2D1F90"/>
        <w:insideV w:val="single" w:sz="4" w:space="0" w:color="2D1F90"/>
      </w:tblBorders>
    </w:tblPr>
    <w:tblStylePr w:type="firstRow">
      <w:rPr>
        <w:rFonts w:ascii="Marianne Light" w:hAnsi="Marianne Light"/>
        <w:b/>
        <w:color w:val="2D1F90"/>
        <w:sz w:val="20"/>
      </w:rPr>
      <w:tblPr/>
      <w:tcPr>
        <w:shd w:val="clear" w:color="auto" w:fill="FFE552"/>
      </w:tcPr>
    </w:tblStylePr>
  </w:style>
  <w:style w:type="table" w:customStyle="1" w:styleId="Style2">
    <w:name w:val="Style2"/>
    <w:basedOn w:val="TableauNormal"/>
    <w:uiPriority w:val="99"/>
    <w:rsid w:val="007E1B5D"/>
    <w:pPr>
      <w:spacing w:after="0" w:line="240" w:lineRule="auto"/>
    </w:pPr>
    <w:rPr>
      <w:rFonts w:ascii="Marianne Light" w:eastAsia="Calibri" w:hAnsi="Marianne Light" w:cs="Times New Roman"/>
      <w:sz w:val="20"/>
      <w:szCs w:val="20"/>
      <w:lang w:eastAsia="fr-FR"/>
    </w:rPr>
    <w:tblPr>
      <w:tblBorders>
        <w:top w:val="single" w:sz="4" w:space="0" w:color="2D1F90"/>
        <w:left w:val="single" w:sz="4" w:space="0" w:color="2D1F90"/>
        <w:bottom w:val="single" w:sz="4" w:space="0" w:color="2D1F90"/>
        <w:right w:val="single" w:sz="4" w:space="0" w:color="2D1F90"/>
        <w:insideH w:val="single" w:sz="4" w:space="0" w:color="2D1F90"/>
        <w:insideV w:val="single" w:sz="4" w:space="0" w:color="2D1F90"/>
      </w:tblBorders>
    </w:tblPr>
    <w:tblStylePr w:type="firstRow">
      <w:rPr>
        <w:rFonts w:ascii="Marianne Light" w:hAnsi="Marianne Light"/>
        <w:b/>
        <w:color w:val="2D1F90"/>
        <w:sz w:val="20"/>
      </w:rPr>
      <w:tblPr/>
      <w:tcPr>
        <w:shd w:val="clear" w:color="auto" w:fill="FFE552"/>
      </w:tcPr>
    </w:tblStylePr>
    <w:tblStylePr w:type="firstCol">
      <w:rPr>
        <w:rFonts w:ascii="Marianne Light" w:hAnsi="Marianne Light"/>
        <w:color w:val="2D1F90"/>
        <w:sz w:val="20"/>
      </w:rPr>
      <w:tblPr/>
      <w:tcPr>
        <w:shd w:val="clear" w:color="auto" w:fill="FFE552"/>
      </w:tcPr>
    </w:tblStylePr>
  </w:style>
  <w:style w:type="paragraph" w:customStyle="1" w:styleId="encadrcitation">
    <w:name w:val="encadré citation"/>
    <w:basedOn w:val="Normal"/>
    <w:qFormat/>
    <w:rsid w:val="007E1B5D"/>
    <w:pPr>
      <w:pBdr>
        <w:top w:val="dashSmallGap" w:sz="4" w:space="1" w:color="E0DDEE"/>
        <w:left w:val="dashSmallGap" w:sz="4" w:space="4" w:color="E0DDEE"/>
        <w:bottom w:val="dashSmallGap" w:sz="4" w:space="1" w:color="E0DDEE"/>
        <w:right w:val="dashSmallGap" w:sz="4" w:space="4" w:color="E0DDEE"/>
      </w:pBdr>
      <w:spacing w:before="120" w:after="120"/>
    </w:pPr>
    <w:rPr>
      <w:i/>
    </w:rPr>
  </w:style>
  <w:style w:type="paragraph" w:customStyle="1" w:styleId="encadrcitation2">
    <w:name w:val="encadré citation 2"/>
    <w:qFormat/>
    <w:rsid w:val="007E1B5D"/>
    <w:pPr>
      <w:pBdr>
        <w:top w:val="dashSmallGap" w:sz="4" w:space="1" w:color="E0DDEE"/>
        <w:left w:val="dashSmallGap" w:sz="4" w:space="4" w:color="E0DDEE"/>
        <w:bottom w:val="dashSmallGap" w:sz="4" w:space="1" w:color="E0DDEE"/>
        <w:right w:val="dashSmallGap" w:sz="4" w:space="4" w:color="E0DDEE"/>
      </w:pBdr>
      <w:spacing w:before="120" w:after="120"/>
    </w:pPr>
    <w:rPr>
      <w:rFonts w:ascii="Marianne Light" w:hAnsi="Marianne Light"/>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86934">
      <w:bodyDiv w:val="1"/>
      <w:marLeft w:val="0"/>
      <w:marRight w:val="0"/>
      <w:marTop w:val="0"/>
      <w:marBottom w:val="0"/>
      <w:divBdr>
        <w:top w:val="none" w:sz="0" w:space="0" w:color="auto"/>
        <w:left w:val="none" w:sz="0" w:space="0" w:color="auto"/>
        <w:bottom w:val="none" w:sz="0" w:space="0" w:color="auto"/>
        <w:right w:val="none" w:sz="0" w:space="0" w:color="auto"/>
      </w:divBdr>
    </w:div>
    <w:div w:id="531841907">
      <w:bodyDiv w:val="1"/>
      <w:marLeft w:val="0"/>
      <w:marRight w:val="0"/>
      <w:marTop w:val="0"/>
      <w:marBottom w:val="0"/>
      <w:divBdr>
        <w:top w:val="none" w:sz="0" w:space="0" w:color="auto"/>
        <w:left w:val="none" w:sz="0" w:space="0" w:color="auto"/>
        <w:bottom w:val="none" w:sz="0" w:space="0" w:color="auto"/>
        <w:right w:val="none" w:sz="0" w:space="0" w:color="auto"/>
      </w:divBdr>
      <w:divsChild>
        <w:div w:id="490485007">
          <w:marLeft w:val="0"/>
          <w:marRight w:val="0"/>
          <w:marTop w:val="0"/>
          <w:marBottom w:val="0"/>
          <w:divBdr>
            <w:top w:val="none" w:sz="0" w:space="0" w:color="auto"/>
            <w:left w:val="none" w:sz="0" w:space="0" w:color="auto"/>
            <w:bottom w:val="none" w:sz="0" w:space="0" w:color="auto"/>
            <w:right w:val="none" w:sz="0" w:space="0" w:color="auto"/>
          </w:divBdr>
        </w:div>
      </w:divsChild>
    </w:div>
    <w:div w:id="783157905">
      <w:bodyDiv w:val="1"/>
      <w:marLeft w:val="0"/>
      <w:marRight w:val="0"/>
      <w:marTop w:val="0"/>
      <w:marBottom w:val="0"/>
      <w:divBdr>
        <w:top w:val="none" w:sz="0" w:space="0" w:color="auto"/>
        <w:left w:val="none" w:sz="0" w:space="0" w:color="auto"/>
        <w:bottom w:val="none" w:sz="0" w:space="0" w:color="auto"/>
        <w:right w:val="none" w:sz="0" w:space="0" w:color="auto"/>
      </w:divBdr>
      <w:divsChild>
        <w:div w:id="1391997086">
          <w:marLeft w:val="0"/>
          <w:marRight w:val="0"/>
          <w:marTop w:val="0"/>
          <w:marBottom w:val="0"/>
          <w:divBdr>
            <w:top w:val="none" w:sz="0" w:space="0" w:color="auto"/>
            <w:left w:val="none" w:sz="0" w:space="0" w:color="auto"/>
            <w:bottom w:val="none" w:sz="0" w:space="0" w:color="auto"/>
            <w:right w:val="none" w:sz="0" w:space="0" w:color="auto"/>
          </w:divBdr>
        </w:div>
      </w:divsChild>
    </w:div>
    <w:div w:id="869104887">
      <w:bodyDiv w:val="1"/>
      <w:marLeft w:val="0"/>
      <w:marRight w:val="0"/>
      <w:marTop w:val="0"/>
      <w:marBottom w:val="0"/>
      <w:divBdr>
        <w:top w:val="none" w:sz="0" w:space="0" w:color="auto"/>
        <w:left w:val="none" w:sz="0" w:space="0" w:color="auto"/>
        <w:bottom w:val="none" w:sz="0" w:space="0" w:color="auto"/>
        <w:right w:val="none" w:sz="0" w:space="0" w:color="auto"/>
      </w:divBdr>
      <w:divsChild>
        <w:div w:id="140778813">
          <w:marLeft w:val="0"/>
          <w:marRight w:val="0"/>
          <w:marTop w:val="0"/>
          <w:marBottom w:val="0"/>
          <w:divBdr>
            <w:top w:val="none" w:sz="0" w:space="0" w:color="auto"/>
            <w:left w:val="none" w:sz="0" w:space="0" w:color="auto"/>
            <w:bottom w:val="none" w:sz="0" w:space="0" w:color="auto"/>
            <w:right w:val="none" w:sz="0" w:space="0" w:color="auto"/>
          </w:divBdr>
        </w:div>
      </w:divsChild>
    </w:div>
    <w:div w:id="917860942">
      <w:bodyDiv w:val="1"/>
      <w:marLeft w:val="0"/>
      <w:marRight w:val="0"/>
      <w:marTop w:val="0"/>
      <w:marBottom w:val="0"/>
      <w:divBdr>
        <w:top w:val="none" w:sz="0" w:space="0" w:color="auto"/>
        <w:left w:val="none" w:sz="0" w:space="0" w:color="auto"/>
        <w:bottom w:val="none" w:sz="0" w:space="0" w:color="auto"/>
        <w:right w:val="none" w:sz="0" w:space="0" w:color="auto"/>
      </w:divBdr>
    </w:div>
    <w:div w:id="948582541">
      <w:bodyDiv w:val="1"/>
      <w:marLeft w:val="0"/>
      <w:marRight w:val="0"/>
      <w:marTop w:val="0"/>
      <w:marBottom w:val="0"/>
      <w:divBdr>
        <w:top w:val="none" w:sz="0" w:space="0" w:color="auto"/>
        <w:left w:val="none" w:sz="0" w:space="0" w:color="auto"/>
        <w:bottom w:val="none" w:sz="0" w:space="0" w:color="auto"/>
        <w:right w:val="none" w:sz="0" w:space="0" w:color="auto"/>
      </w:divBdr>
      <w:divsChild>
        <w:div w:id="889995460">
          <w:marLeft w:val="0"/>
          <w:marRight w:val="0"/>
          <w:marTop w:val="0"/>
          <w:marBottom w:val="0"/>
          <w:divBdr>
            <w:top w:val="none" w:sz="0" w:space="0" w:color="auto"/>
            <w:left w:val="none" w:sz="0" w:space="0" w:color="auto"/>
            <w:bottom w:val="none" w:sz="0" w:space="0" w:color="auto"/>
            <w:right w:val="none" w:sz="0" w:space="0" w:color="auto"/>
          </w:divBdr>
        </w:div>
      </w:divsChild>
    </w:div>
    <w:div w:id="1017390586">
      <w:bodyDiv w:val="1"/>
      <w:marLeft w:val="0"/>
      <w:marRight w:val="0"/>
      <w:marTop w:val="0"/>
      <w:marBottom w:val="0"/>
      <w:divBdr>
        <w:top w:val="none" w:sz="0" w:space="0" w:color="auto"/>
        <w:left w:val="none" w:sz="0" w:space="0" w:color="auto"/>
        <w:bottom w:val="none" w:sz="0" w:space="0" w:color="auto"/>
        <w:right w:val="none" w:sz="0" w:space="0" w:color="auto"/>
      </w:divBdr>
    </w:div>
    <w:div w:id="1041711163">
      <w:bodyDiv w:val="1"/>
      <w:marLeft w:val="0"/>
      <w:marRight w:val="0"/>
      <w:marTop w:val="0"/>
      <w:marBottom w:val="0"/>
      <w:divBdr>
        <w:top w:val="none" w:sz="0" w:space="0" w:color="auto"/>
        <w:left w:val="none" w:sz="0" w:space="0" w:color="auto"/>
        <w:bottom w:val="none" w:sz="0" w:space="0" w:color="auto"/>
        <w:right w:val="none" w:sz="0" w:space="0" w:color="auto"/>
      </w:divBdr>
    </w:div>
    <w:div w:id="1074165390">
      <w:bodyDiv w:val="1"/>
      <w:marLeft w:val="0"/>
      <w:marRight w:val="0"/>
      <w:marTop w:val="0"/>
      <w:marBottom w:val="0"/>
      <w:divBdr>
        <w:top w:val="none" w:sz="0" w:space="0" w:color="auto"/>
        <w:left w:val="none" w:sz="0" w:space="0" w:color="auto"/>
        <w:bottom w:val="none" w:sz="0" w:space="0" w:color="auto"/>
        <w:right w:val="none" w:sz="0" w:space="0" w:color="auto"/>
      </w:divBdr>
    </w:div>
    <w:div w:id="1205170655">
      <w:bodyDiv w:val="1"/>
      <w:marLeft w:val="0"/>
      <w:marRight w:val="0"/>
      <w:marTop w:val="0"/>
      <w:marBottom w:val="0"/>
      <w:divBdr>
        <w:top w:val="none" w:sz="0" w:space="0" w:color="auto"/>
        <w:left w:val="none" w:sz="0" w:space="0" w:color="auto"/>
        <w:bottom w:val="none" w:sz="0" w:space="0" w:color="auto"/>
        <w:right w:val="none" w:sz="0" w:space="0" w:color="auto"/>
      </w:divBdr>
      <w:divsChild>
        <w:div w:id="730886140">
          <w:marLeft w:val="0"/>
          <w:marRight w:val="0"/>
          <w:marTop w:val="0"/>
          <w:marBottom w:val="0"/>
          <w:divBdr>
            <w:top w:val="none" w:sz="0" w:space="0" w:color="auto"/>
            <w:left w:val="none" w:sz="0" w:space="0" w:color="auto"/>
            <w:bottom w:val="none" w:sz="0" w:space="0" w:color="auto"/>
            <w:right w:val="none" w:sz="0" w:space="0" w:color="auto"/>
          </w:divBdr>
        </w:div>
      </w:divsChild>
    </w:div>
    <w:div w:id="1207719533">
      <w:bodyDiv w:val="1"/>
      <w:marLeft w:val="0"/>
      <w:marRight w:val="0"/>
      <w:marTop w:val="0"/>
      <w:marBottom w:val="0"/>
      <w:divBdr>
        <w:top w:val="none" w:sz="0" w:space="0" w:color="auto"/>
        <w:left w:val="none" w:sz="0" w:space="0" w:color="auto"/>
        <w:bottom w:val="none" w:sz="0" w:space="0" w:color="auto"/>
        <w:right w:val="none" w:sz="0" w:space="0" w:color="auto"/>
      </w:divBdr>
    </w:div>
    <w:div w:id="1526361982">
      <w:bodyDiv w:val="1"/>
      <w:marLeft w:val="0"/>
      <w:marRight w:val="0"/>
      <w:marTop w:val="0"/>
      <w:marBottom w:val="0"/>
      <w:divBdr>
        <w:top w:val="none" w:sz="0" w:space="0" w:color="auto"/>
        <w:left w:val="none" w:sz="0" w:space="0" w:color="auto"/>
        <w:bottom w:val="none" w:sz="0" w:space="0" w:color="auto"/>
        <w:right w:val="none" w:sz="0" w:space="0" w:color="auto"/>
      </w:divBdr>
    </w:div>
    <w:div w:id="1592932854">
      <w:bodyDiv w:val="1"/>
      <w:marLeft w:val="0"/>
      <w:marRight w:val="0"/>
      <w:marTop w:val="0"/>
      <w:marBottom w:val="0"/>
      <w:divBdr>
        <w:top w:val="none" w:sz="0" w:space="0" w:color="auto"/>
        <w:left w:val="none" w:sz="0" w:space="0" w:color="auto"/>
        <w:bottom w:val="none" w:sz="0" w:space="0" w:color="auto"/>
        <w:right w:val="none" w:sz="0" w:space="0" w:color="auto"/>
      </w:divBdr>
      <w:divsChild>
        <w:div w:id="1400860796">
          <w:marLeft w:val="0"/>
          <w:marRight w:val="0"/>
          <w:marTop w:val="0"/>
          <w:marBottom w:val="0"/>
          <w:divBdr>
            <w:top w:val="none" w:sz="0" w:space="0" w:color="auto"/>
            <w:left w:val="none" w:sz="0" w:space="0" w:color="auto"/>
            <w:bottom w:val="none" w:sz="0" w:space="0" w:color="auto"/>
            <w:right w:val="none" w:sz="0" w:space="0" w:color="auto"/>
          </w:divBdr>
        </w:div>
      </w:divsChild>
    </w:div>
    <w:div w:id="1611861303">
      <w:bodyDiv w:val="1"/>
      <w:marLeft w:val="0"/>
      <w:marRight w:val="0"/>
      <w:marTop w:val="0"/>
      <w:marBottom w:val="0"/>
      <w:divBdr>
        <w:top w:val="none" w:sz="0" w:space="0" w:color="auto"/>
        <w:left w:val="none" w:sz="0" w:space="0" w:color="auto"/>
        <w:bottom w:val="none" w:sz="0" w:space="0" w:color="auto"/>
        <w:right w:val="none" w:sz="0" w:space="0" w:color="auto"/>
      </w:divBdr>
    </w:div>
    <w:div w:id="17376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e-publique.fr/bd/272779-simone-veil-et-la-loi-sur-lavortement-episode-1" TargetMode="External"/><Relationship Id="rId21" Type="http://schemas.openxmlformats.org/officeDocument/2006/relationships/hyperlink" Target="https://www.genrimages.org/recherche/voir-fiche/522" TargetMode="External"/><Relationship Id="rId42" Type="http://schemas.openxmlformats.org/officeDocument/2006/relationships/hyperlink" Target="https://enseignants.lumni.fr/fiche-media/00000006779/qu-est-ce-que-le-masculinisme.html" TargetMode="External"/><Relationship Id="rId47" Type="http://schemas.openxmlformats.org/officeDocument/2006/relationships/hyperlink" Target="https://arretonslesviolences.gouv.fr/je-suis-professionnel/campagnes-et-outils-de-sensibilisation" TargetMode="External"/><Relationship Id="rId63" Type="http://schemas.openxmlformats.org/officeDocument/2006/relationships/hyperlink" Target="http://www.outre-mer.gouv.fr/la-reunion" TargetMode="External"/><Relationship Id="rId68" Type="http://schemas.openxmlformats.org/officeDocument/2006/relationships/hyperlink" Target="http://www.outre-mer.gouv.fr/saint-barthelemy" TargetMode="External"/><Relationship Id="rId84" Type="http://schemas.openxmlformats.org/officeDocument/2006/relationships/hyperlink" Target="https://www.unesco.org/fr/days/slave-trade-remembrance" TargetMode="External"/><Relationship Id="rId16" Type="http://schemas.openxmlformats.org/officeDocument/2006/relationships/hyperlink" Target="https://histoire-image.org/etudes/verrou" TargetMode="External"/><Relationship Id="rId11" Type="http://schemas.openxmlformats.org/officeDocument/2006/relationships/hyperlink" Target="https://www.lemonde.fr/argent/article/2022/11/01/ce-qui-change-le-1er-novembre-pour-le-budget-des-menages-pensions-de-retraite-et-alimentaire-treve-hivernale_6148078_1657007.html" TargetMode="External"/><Relationship Id="rId32" Type="http://schemas.openxmlformats.org/officeDocument/2006/relationships/hyperlink" Target="https://www.egalite-femmes-hommes.gouv.fr/chiffres-cles-vers-legalite-reelle-entre-les-femmes-et-les-hommes-edition-2024" TargetMode="External"/><Relationship Id="rId37" Type="http://schemas.openxmlformats.org/officeDocument/2006/relationships/hyperlink" Target="https://www.prefectures-regions.gouv.fr/content/download/18370/126806/file/Lois%20%C3%A9galit%C3%A9%20professionnelle.pdf" TargetMode="External"/><Relationship Id="rId53" Type="http://schemas.openxmlformats.org/officeDocument/2006/relationships/hyperlink" Target="https://www.conseil-constitutionnel.fr/le-bloc-de-constitutionnalite/texte-integral-de-la-constitution-du-4-octobre-1958-en-vigueur" TargetMode="External"/><Relationship Id="rId58" Type="http://schemas.openxmlformats.org/officeDocument/2006/relationships/hyperlink" Target="https://www.ccomptes.fr/sites/default/files/2023-10/20230310-RPA-2023-decentralisation-40-ans-apres.pdf" TargetMode="External"/><Relationship Id="rId74" Type="http://schemas.openxmlformats.org/officeDocument/2006/relationships/hyperlink" Target="https://eduscol.education.fr/1034/territoires-d-outre-mer" TargetMode="External"/><Relationship Id="rId79" Type="http://schemas.openxmlformats.org/officeDocument/2006/relationships/hyperlink" Target="https://achac.com/programme/memoires-combattantes/films" TargetMode="External"/><Relationship Id="rId5" Type="http://schemas.openxmlformats.org/officeDocument/2006/relationships/webSettings" Target="webSettings.xml"/><Relationship Id="rId19" Type="http://schemas.openxmlformats.org/officeDocument/2006/relationships/hyperlink" Target="https://www.genrimages.org/recherche/voir-fiche/564" TargetMode="External"/><Relationship Id="rId14" Type="http://schemas.openxmlformats.org/officeDocument/2006/relationships/hyperlink" Target="https://www.lemonde.fr/societe/article/2025/01/31/hebergement-d-urgence-des-villes-s-engagent-avec-ou-sans-l-etat_6525039_3224.html" TargetMode="External"/><Relationship Id="rId22" Type="http://schemas.openxmlformats.org/officeDocument/2006/relationships/hyperlink" Target="https://www.genrimages.org/recherche/voir-fiche/303" TargetMode="External"/><Relationship Id="rId27" Type="http://schemas.openxmlformats.org/officeDocument/2006/relationships/hyperlink" Target="https://www.vie-publique.fr/bd/272944-simone-veil-la-loi-sur-lavortement-episode-2" TargetMode="External"/><Relationship Id="rId30" Type="http://schemas.openxmlformats.org/officeDocument/2006/relationships/hyperlink" Target="https://www.vie-publique.fr/eclairage/19618-parite-politique-hommes-femmes-quels-resultats" TargetMode="External"/><Relationship Id="rId35" Type="http://schemas.openxmlformats.org/officeDocument/2006/relationships/hyperlink" Target="https://www.vie-publique.fr/loi/297985-loi-consentement-definition-penale-du-viol-6-novembre-2025" TargetMode="External"/><Relationship Id="rId43" Type="http://schemas.openxmlformats.org/officeDocument/2006/relationships/hyperlink" Target="https://www.vie-publique.fr/files/rapport/pdf/296926.pdf" TargetMode="External"/><Relationship Id="rId48" Type="http://schemas.openxmlformats.org/officeDocument/2006/relationships/hyperlink" Target="https://www.centre-hubertine-auclert.fr/actualites/genant-surtout-violent-comprendre-et-agir-contre-les-cyberviolences-de-genre" TargetMode="External"/><Relationship Id="rId56" Type="http://schemas.openxmlformats.org/officeDocument/2006/relationships/hyperlink" Target="https://www.vie-publique.fr/infographie/281135-infographie-quest-ce-que-la-decentralisation-territoriale" TargetMode="External"/><Relationship Id="rId64" Type="http://schemas.openxmlformats.org/officeDocument/2006/relationships/hyperlink" Target="http://www.outre-mer.gouv.fr/martinique" TargetMode="External"/><Relationship Id="rId69" Type="http://schemas.openxmlformats.org/officeDocument/2006/relationships/hyperlink" Target="http://www.outre-mer.gouv.fr/saint-martin" TargetMode="External"/><Relationship Id="rId77" Type="http://schemas.openxmlformats.org/officeDocument/2006/relationships/hyperlink" Target="https://enseignants.lumni.fr/fiche-media/00000001180/debat-sur-le-droit-de-vote-des-etrangers-en-france.html" TargetMode="External"/><Relationship Id="rId8" Type="http://schemas.openxmlformats.org/officeDocument/2006/relationships/hyperlink" Target="https://www.inegalites.fr/Rapport-sur-la-pauvrete-en-France-edition-2024-2025" TargetMode="External"/><Relationship Id="rId51" Type="http://schemas.openxmlformats.org/officeDocument/2006/relationships/hyperlink" Target="https://www.decouvronsnotreconstitution.fr/15-ans-la-garantie-des-principes-et-valeurs-de-la-republique" TargetMode="External"/><Relationship Id="rId72" Type="http://schemas.openxmlformats.org/officeDocument/2006/relationships/hyperlink" Target="http://www.outre-mer.gouv.fr/wallis-et-futuna" TargetMode="External"/><Relationship Id="rId80" Type="http://schemas.openxmlformats.org/officeDocument/2006/relationships/hyperlink" Target="https://olympique.ca/2024/07/26/la-ceremonie-douverture-des-jeux-de-paris-2024-en-a-mis-plein-la-vue/" TargetMode="External"/><Relationship Id="rId85" Type="http://schemas.openxmlformats.org/officeDocument/2006/relationships/hyperlink" Target="https://www.vie-publique.fr/questions-reponses/279717-10-mai-la-journee-nationale-des-memoires-de-lesclavage-en-5-questions" TargetMode="External"/><Relationship Id="rId3" Type="http://schemas.openxmlformats.org/officeDocument/2006/relationships/styles" Target="styles.xml"/><Relationship Id="rId12" Type="http://schemas.openxmlformats.org/officeDocument/2006/relationships/hyperlink" Target="https://www.lemonde.fr/economie-francaise/article/2025/01/02/la-reforme-du-rsa-experimentee-depuis-2023-se-generalise-malgre-les-inquietudes-sur-les-moyens_6477503_1656968.html" TargetMode="External"/><Relationship Id="rId17" Type="http://schemas.openxmlformats.org/officeDocument/2006/relationships/hyperlink" Target="https://www.genrimages.org/recherche/voir-fiche-documentaire/62628" TargetMode="External"/><Relationship Id="rId25" Type="http://schemas.openxmlformats.org/officeDocument/2006/relationships/hyperlink" Target="https://www.vie-publique.fr/eclairage/19590-chronologie-des-droits-des-femmes" TargetMode="External"/><Relationship Id="rId33" Type="http://schemas.openxmlformats.org/officeDocument/2006/relationships/hyperlink" Target="https://www.noustoutes.org/comprendre-les-chiffres/" TargetMode="External"/><Relationship Id="rId38" Type="http://schemas.openxmlformats.org/officeDocument/2006/relationships/image" Target="media/image1.png"/><Relationship Id="rId46" Type="http://schemas.openxmlformats.org/officeDocument/2006/relationships/hyperlink" Target="https://www.sidaction.org/communique/sondage-opinionway-les-hommes-et-le-masculinisme/" TargetMode="External"/><Relationship Id="rId59" Type="http://schemas.openxmlformats.org/officeDocument/2006/relationships/hyperlink" Target="https://www.education.gouv.fr/le-role-des-collectivites-territoriales-dans-le-service-public-de-l-education-8138" TargetMode="External"/><Relationship Id="rId67" Type="http://schemas.openxmlformats.org/officeDocument/2006/relationships/hyperlink" Target="http://www.outre-mer.gouv.fr/polynesie-francaise" TargetMode="External"/><Relationship Id="rId20" Type="http://schemas.openxmlformats.org/officeDocument/2006/relationships/hyperlink" Target="https://www.genrimages.org/recherche/voir-fiche/486" TargetMode="External"/><Relationship Id="rId41" Type="http://schemas.openxmlformats.org/officeDocument/2006/relationships/hyperlink" Target="https://www.centre-hubertine-auclert.fr/actualites/genant-surtout-violent-comprendre-et-agir-contre-les-cyberviolences-de-genre" TargetMode="External"/><Relationship Id="rId54" Type="http://schemas.openxmlformats.org/officeDocument/2006/relationships/hyperlink" Target="https://www.culture.gouv.fr/fr/thematiques/langue-francaise-et-langues-de-france/agir-pour-les-langues/promouvoir-les-langues-de-france" TargetMode="External"/><Relationship Id="rId62" Type="http://schemas.openxmlformats.org/officeDocument/2006/relationships/hyperlink" Target="http://www.outre-mer.gouv.fr/guadeloupe" TargetMode="External"/><Relationship Id="rId70" Type="http://schemas.openxmlformats.org/officeDocument/2006/relationships/hyperlink" Target="https://www.education.gouv.fr/service-de-l-education-nationale-de-saint-pierre-et-miquelon-100136" TargetMode="External"/><Relationship Id="rId75" Type="http://schemas.openxmlformats.org/officeDocument/2006/relationships/hyperlink" Target="https://www.vie-publique.fr/infographie/292902-infographie-comment-devient-citoyen-francais" TargetMode="External"/><Relationship Id="rId83" Type="http://schemas.openxmlformats.org/officeDocument/2006/relationships/hyperlink" Target="https://www.un.org/fr/observances/slavery-abolition-day"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llections.louvre.fr/ark:/53355/cl010064766" TargetMode="External"/><Relationship Id="rId23" Type="http://schemas.openxmlformats.org/officeDocument/2006/relationships/hyperlink" Target="https://enseignants.lumni.fr/parcours/1157/douces-et-soumises-comment-l-education-des-filles-a-enferme-les-femmes-du-xixesiecle-a-nos-jours.html" TargetMode="External"/><Relationship Id="rId28" Type="http://schemas.openxmlformats.org/officeDocument/2006/relationships/hyperlink" Target="https://www.vie-publique.fr/rapport/25436-la-parite-dans-la-vie-politique" TargetMode="External"/><Relationship Id="rId36" Type="http://schemas.openxmlformats.org/officeDocument/2006/relationships/hyperlink" Target="https://www.insee.fr/fr/statistiques/6047789?sommaire=6047805" TargetMode="External"/><Relationship Id="rId49" Type="http://schemas.openxmlformats.org/officeDocument/2006/relationships/image" Target="media/image2.png"/><Relationship Id="rId57" Type="http://schemas.openxmlformats.org/officeDocument/2006/relationships/hyperlink" Target="https://www.oxfamfrance.org/inegalites-et-justice-fiscale/et-si-les-collectivites-territoriales-etaient-les-mieux-placees-pour-concilier-transition-ecologique-et-justice-sociale/" TargetMode="External"/><Relationship Id="rId10" Type="http://schemas.openxmlformats.org/officeDocument/2006/relationships/hyperlink" Target="https://www.lemonde.fr/politique/article/2024/05/27/reforme-de-l-assurance-chomage-la-duree-d-indemnisation-va-baisser_6235807_823448.html" TargetMode="External"/><Relationship Id="rId31" Type="http://schemas.openxmlformats.org/officeDocument/2006/relationships/hyperlink" Target="https://arretonslesviolences.gouv.fr/je-suis-professionnel/chiffres-de-reference-violences-faites-aux-femmes" TargetMode="External"/><Relationship Id="rId44" Type="http://schemas.openxmlformats.org/officeDocument/2006/relationships/hyperlink" Target="https://www.egalite-femmes-hommes.gouv.fr/chiffres-cles-vers-legalite-reelle-entre-les-femmes-et-les-hommes-edition-2024" TargetMode="External"/><Relationship Id="rId52" Type="http://schemas.openxmlformats.org/officeDocument/2006/relationships/image" Target="media/image3.png"/><Relationship Id="rId60" Type="http://schemas.openxmlformats.org/officeDocument/2006/relationships/hyperlink" Target="https://www.legifrance.gouv.fr/loda/article_lc/LEGIARTI000019241095" TargetMode="External"/><Relationship Id="rId65" Type="http://schemas.openxmlformats.org/officeDocument/2006/relationships/hyperlink" Target="http://www.outre-mer.gouv.fr/guyane" TargetMode="External"/><Relationship Id="rId73" Type="http://schemas.openxmlformats.org/officeDocument/2006/relationships/hyperlink" Target="http://www.outre-mer.gouv.fr/nouvelle-caledonie" TargetMode="External"/><Relationship Id="rId78" Type="http://schemas.openxmlformats.org/officeDocument/2006/relationships/hyperlink" Target="https://valeurs-de-la-republique.reseau-canope.fr/decouvrir/notice/citoyennete/des-questions-des-reactions-quelques-elements-de-reponse" TargetMode="External"/><Relationship Id="rId81" Type="http://schemas.openxmlformats.org/officeDocument/2006/relationships/hyperlink" Target="https://www2.assemblee-nationale.fr/17/evenements/2024/dix-statues-de-femmes-mises-a-l-honneur-lors-de-la-ceremonie-d-ouverture-des-jeux-a-voir-a-l-assemblee-nationale" TargetMode="External"/><Relationship Id="rId86" Type="http://schemas.openxmlformats.org/officeDocument/2006/relationships/hyperlink" Target="https://enseignants.lumni.fr/fiche-media/00000001073/le-premier-rapport-du-comite-pour-la-memoire-de-l-esclavage.html" TargetMode="External"/><Relationship Id="rId4" Type="http://schemas.openxmlformats.org/officeDocument/2006/relationships/settings" Target="settings.xml"/><Relationship Id="rId9" Type="http://schemas.openxmlformats.org/officeDocument/2006/relationships/hyperlink" Target="https://www.insee.fr/fr/statistiques/8600989" TargetMode="External"/><Relationship Id="rId13" Type="http://schemas.openxmlformats.org/officeDocument/2006/relationships/hyperlink" Target="https://www.lemonde.fr/societe/article/2023/04/04/la-proposition-de-loi-antisquat-votee-par-les-deputes_6168268_3224.html" TargetMode="External"/><Relationship Id="rId18" Type="http://schemas.openxmlformats.org/officeDocument/2006/relationships/hyperlink" Target="https://www.genrimages.org/recherche/voir-fiche/61834" TargetMode="External"/><Relationship Id="rId39" Type="http://schemas.openxmlformats.org/officeDocument/2006/relationships/hyperlink" Target="https://www.1jour1actu.com/monde/filles-meilleures-ecole" TargetMode="External"/><Relationship Id="rId34" Type="http://schemas.openxmlformats.org/officeDocument/2006/relationships/hyperlink" Target="https://www.liberation.fr/societe/police-justice/divorce-pour-manquement-au-devoir-conjugal-la-france-condamnee-par-la-cedh-20250123_VVG3NU3QIBDGFG3BFYL4IFXRIU/" TargetMode="External"/><Relationship Id="rId50" Type="http://schemas.openxmlformats.org/officeDocument/2006/relationships/hyperlink" Target="https://www.conseil-constitutionnel.fr/le-bloc-de-constitutionnalite/texte-integral-de-la-constitution-du-4-octobre-1958-en-vigueur" TargetMode="External"/><Relationship Id="rId55" Type="http://schemas.openxmlformats.org/officeDocument/2006/relationships/hyperlink" Target="https://enseignants.lumni.fr/fiche-media/00000006094/aux-sources-du-creole.html" TargetMode="External"/><Relationship Id="rId76" Type="http://schemas.openxmlformats.org/officeDocument/2006/relationships/hyperlink" Target="https://enseignants.lumni.fr/partenaires/6/ina.html" TargetMode="External"/><Relationship Id="rId7" Type="http://schemas.openxmlformats.org/officeDocument/2006/relationships/endnotes" Target="endnotes.xml"/><Relationship Id="rId71" Type="http://schemas.openxmlformats.org/officeDocument/2006/relationships/hyperlink" Target="https://taaf.fr/" TargetMode="External"/><Relationship Id="rId2" Type="http://schemas.openxmlformats.org/officeDocument/2006/relationships/numbering" Target="numbering.xml"/><Relationship Id="rId29" Type="http://schemas.openxmlformats.org/officeDocument/2006/relationships/hyperlink" Target="https://www.vie-publique.fr/parole-dexpert/287131-les-proces-de-bobigny-1972-pour-avortement-gisele-halimi" TargetMode="External"/><Relationship Id="rId24" Type="http://schemas.openxmlformats.org/officeDocument/2006/relationships/hyperlink" Target="https://www.prefectures-regions.gouv.fr/content/download/18370/126806/file/Lois%20%C3%A9galit%C3%A9%20professionnelle.pdf" TargetMode="External"/><Relationship Id="rId40" Type="http://schemas.openxmlformats.org/officeDocument/2006/relationships/hyperlink" Target="https://www.education.gouv.fr/filles-et-garcons-sur-le-chemin-de-l-egalite-de-l-ecole-l-enseignement-superieur-edition-2025-416743" TargetMode="External"/><Relationship Id="rId45" Type="http://schemas.openxmlformats.org/officeDocument/2006/relationships/hyperlink" Target="https://www.opinion-way.com/fr/publications/les-hommes-et-le-masculinisme-2025-21809/" TargetMode="External"/><Relationship Id="rId66" Type="http://schemas.openxmlformats.org/officeDocument/2006/relationships/hyperlink" Target="http://www.outre-mer.gouv.fr/mayotte" TargetMode="External"/><Relationship Id="rId87" Type="http://schemas.openxmlformats.org/officeDocument/2006/relationships/fontTable" Target="fontTable.xml"/><Relationship Id="rId61" Type="http://schemas.openxmlformats.org/officeDocument/2006/relationships/hyperlink" Target="https://www.arte.tv/fr/videos/119961-016-A/le-dessous-des-cartes/" TargetMode="External"/><Relationship Id="rId82" Type="http://schemas.openxmlformats.org/officeDocument/2006/relationships/hyperlink" Target="https://www.vie-publique.fr/video/279146-video-esclavage-commerce-triangulaire-et-traite-transatlantiq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alit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94BB-1EBB-47EA-9384-91615371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FDS2-Annexe-documentaire_Livret_EMC_1reBCP.dotx</Template>
  <TotalTime>0</TotalTime>
  <Pages>10</Pages>
  <Words>4866</Words>
  <Characters>26766</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JEROME SAVIDAN</cp:lastModifiedBy>
  <cp:revision>2</cp:revision>
  <dcterms:created xsi:type="dcterms:W3CDTF">2026-04-14T10:10:00Z</dcterms:created>
  <dcterms:modified xsi:type="dcterms:W3CDTF">2026-04-14T10:10:00Z</dcterms:modified>
</cp:coreProperties>
</file>