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2"/>
        <w:tblW w:w="15877" w:type="dxa"/>
        <w:tblInd w:w="-176" w:type="dxa"/>
        <w:tblLook w:val="04A0" w:firstRow="1" w:lastRow="0" w:firstColumn="1" w:lastColumn="0" w:noHBand="0" w:noVBand="1"/>
      </w:tblPr>
      <w:tblGrid>
        <w:gridCol w:w="2694"/>
        <w:gridCol w:w="284"/>
        <w:gridCol w:w="9900"/>
        <w:gridCol w:w="306"/>
        <w:gridCol w:w="2693"/>
      </w:tblGrid>
      <w:tr w:rsidR="00C7213D" w:rsidRPr="00134B17" w14:paraId="0CC8A008" w14:textId="77777777" w:rsidTr="00744C6F">
        <w:trPr>
          <w:trHeight w:hRule="exact" w:val="608"/>
        </w:trPr>
        <w:tc>
          <w:tcPr>
            <w:tcW w:w="12878"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56F0E9AE" w14:textId="428D0808" w:rsidR="00C7213D" w:rsidRPr="00134B17" w:rsidRDefault="00A37F31" w:rsidP="00C91083">
            <w:pPr>
              <w:pStyle w:val="Titre2"/>
              <w:numPr>
                <w:ilvl w:val="0"/>
                <w:numId w:val="0"/>
              </w:numPr>
              <w:outlineLvl w:val="1"/>
              <w:rPr>
                <w:rFonts w:eastAsia="Calibri"/>
                <w:lang w:val="fr-FR"/>
              </w:rPr>
            </w:pPr>
            <w:bookmarkStart w:id="0" w:name="_GoBack"/>
            <w:bookmarkEnd w:id="0"/>
            <w:r>
              <w:rPr>
                <w:lang w:val="fr-FR"/>
              </w:rPr>
              <w:t>Formation des personnels</w:t>
            </w:r>
            <w:r w:rsidR="008D115D">
              <w:rPr>
                <w:lang w:val="fr-FR"/>
              </w:rPr>
              <w:t xml:space="preserve"> – EFE </w:t>
            </w:r>
          </w:p>
        </w:tc>
        <w:tc>
          <w:tcPr>
            <w:tcW w:w="306" w:type="dxa"/>
            <w:tcBorders>
              <w:top w:val="nil"/>
              <w:left w:val="single" w:sz="18" w:space="0" w:color="00B5C6"/>
              <w:bottom w:val="nil"/>
              <w:right w:val="nil"/>
            </w:tcBorders>
            <w:shd w:val="clear" w:color="auto" w:fill="auto"/>
          </w:tcPr>
          <w:p w14:paraId="7341AD8C" w14:textId="77777777" w:rsidR="00C7213D" w:rsidRPr="00134B17" w:rsidRDefault="00C7213D" w:rsidP="00C7213D">
            <w:pPr>
              <w:rPr>
                <w:sz w:val="17"/>
                <w:szCs w:val="17"/>
              </w:rPr>
            </w:pPr>
          </w:p>
        </w:tc>
        <w:tc>
          <w:tcPr>
            <w:tcW w:w="2693" w:type="dxa"/>
            <w:vMerge w:val="restart"/>
            <w:tcBorders>
              <w:top w:val="nil"/>
              <w:left w:val="nil"/>
              <w:right w:val="nil"/>
            </w:tcBorders>
            <w:shd w:val="clear" w:color="auto" w:fill="auto"/>
          </w:tcPr>
          <w:p w14:paraId="39ABBEEF" w14:textId="77777777" w:rsidR="00C7213D" w:rsidRPr="00134B17" w:rsidRDefault="00C7213D" w:rsidP="00C7213D">
            <w:pPr>
              <w:jc w:val="right"/>
              <w:rPr>
                <w:b/>
                <w:color w:val="FFFFFF"/>
                <w:sz w:val="24"/>
                <w:szCs w:val="24"/>
              </w:rPr>
            </w:pPr>
            <w:r w:rsidRPr="00134B17">
              <w:rPr>
                <w:b/>
                <w:noProof/>
                <w:color w:val="FFFFFF"/>
                <w:sz w:val="24"/>
                <w:szCs w:val="24"/>
                <w:lang w:eastAsia="fr-FR"/>
              </w:rPr>
              <w:drawing>
                <wp:inline distT="0" distB="0" distL="0" distR="0" wp14:anchorId="354F3DCC" wp14:editId="3C0288A9">
                  <wp:extent cx="1432800" cy="547200"/>
                  <wp:effectExtent l="0" t="0" r="0" b="5715"/>
                  <wp:docPr id="2266" name="visuel_Qualeduc_4_vio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el_Qualeduc_4_violet.jpg"/>
                          <pic:cNvPicPr/>
                        </pic:nvPicPr>
                        <pic:blipFill>
                          <a:blip r:embed="rId9" r:link="rId10" cstate="print">
                            <a:extLst>
                              <a:ext uri="{28A0092B-C50C-407E-A947-70E740481C1C}">
                                <a14:useLocalDpi xmlns:a14="http://schemas.microsoft.com/office/drawing/2010/main" val="0"/>
                              </a:ext>
                            </a:extLst>
                          </a:blip>
                          <a:stretch>
                            <a:fillRect/>
                          </a:stretch>
                        </pic:blipFill>
                        <pic:spPr>
                          <a:xfrm>
                            <a:off x="0" y="0"/>
                            <a:ext cx="1432800" cy="547200"/>
                          </a:xfrm>
                          <a:prstGeom prst="rect">
                            <a:avLst/>
                          </a:prstGeom>
                        </pic:spPr>
                      </pic:pic>
                    </a:graphicData>
                  </a:graphic>
                </wp:inline>
              </w:drawing>
            </w:r>
          </w:p>
        </w:tc>
      </w:tr>
      <w:tr w:rsidR="00C7213D" w:rsidRPr="00134B17" w14:paraId="6A062B91" w14:textId="77777777" w:rsidTr="003731ED">
        <w:trPr>
          <w:trHeight w:hRule="exact" w:val="192"/>
        </w:trPr>
        <w:tc>
          <w:tcPr>
            <w:tcW w:w="12878" w:type="dxa"/>
            <w:gridSpan w:val="3"/>
            <w:tcBorders>
              <w:top w:val="single" w:sz="18" w:space="0" w:color="00B5C6"/>
              <w:left w:val="nil"/>
              <w:bottom w:val="nil"/>
              <w:right w:val="nil"/>
            </w:tcBorders>
            <w:shd w:val="clear" w:color="auto" w:fill="auto"/>
            <w:vAlign w:val="bottom"/>
          </w:tcPr>
          <w:p w14:paraId="07B01825" w14:textId="4EA8FFC6" w:rsidR="00C7213D" w:rsidRPr="00134B17" w:rsidRDefault="00C7213D" w:rsidP="00C7213D">
            <w:pPr>
              <w:rPr>
                <w:b/>
                <w:sz w:val="8"/>
                <w:szCs w:val="8"/>
              </w:rPr>
            </w:pPr>
          </w:p>
        </w:tc>
        <w:tc>
          <w:tcPr>
            <w:tcW w:w="306" w:type="dxa"/>
            <w:tcBorders>
              <w:top w:val="nil"/>
              <w:left w:val="nil"/>
              <w:bottom w:val="nil"/>
              <w:right w:val="nil"/>
            </w:tcBorders>
            <w:shd w:val="clear" w:color="auto" w:fill="auto"/>
          </w:tcPr>
          <w:p w14:paraId="099AF0A0" w14:textId="77777777" w:rsidR="00C7213D" w:rsidRPr="00134B17" w:rsidRDefault="00C7213D" w:rsidP="00C7213D">
            <w:pPr>
              <w:rPr>
                <w:sz w:val="8"/>
                <w:szCs w:val="8"/>
              </w:rPr>
            </w:pPr>
          </w:p>
        </w:tc>
        <w:tc>
          <w:tcPr>
            <w:tcW w:w="2693" w:type="dxa"/>
            <w:vMerge/>
            <w:tcBorders>
              <w:left w:val="nil"/>
              <w:bottom w:val="nil"/>
              <w:right w:val="nil"/>
            </w:tcBorders>
            <w:shd w:val="clear" w:color="auto" w:fill="auto"/>
          </w:tcPr>
          <w:p w14:paraId="180DF1E9" w14:textId="77777777" w:rsidR="00C7213D" w:rsidRPr="00134B17" w:rsidRDefault="00C7213D" w:rsidP="00C7213D">
            <w:pPr>
              <w:jc w:val="right"/>
              <w:rPr>
                <w:b/>
                <w:color w:val="FFFFFF"/>
                <w:sz w:val="8"/>
                <w:szCs w:val="8"/>
                <w:lang w:eastAsia="fr-FR"/>
              </w:rPr>
            </w:pPr>
          </w:p>
        </w:tc>
      </w:tr>
      <w:tr w:rsidR="00744C6F" w:rsidRPr="00134B17" w14:paraId="039D908E" w14:textId="77777777" w:rsidTr="001C3068">
        <w:trPr>
          <w:trHeight w:hRule="exact" w:val="9979"/>
        </w:trPr>
        <w:tc>
          <w:tcPr>
            <w:tcW w:w="2694" w:type="dxa"/>
            <w:tcBorders>
              <w:top w:val="single" w:sz="24" w:space="0" w:color="951B81"/>
              <w:left w:val="single" w:sz="24" w:space="0" w:color="951B81"/>
              <w:bottom w:val="single" w:sz="24" w:space="0" w:color="951B81"/>
              <w:right w:val="single" w:sz="24" w:space="0" w:color="951B81"/>
            </w:tcBorders>
          </w:tcPr>
          <w:p w14:paraId="407B2A59" w14:textId="2254704C" w:rsidR="00744C6F" w:rsidRPr="00134B17" w:rsidRDefault="00744C6F" w:rsidP="001C3068">
            <w:pPr>
              <w:ind w:left="186" w:hanging="186"/>
              <w:rPr>
                <w:b/>
                <w:color w:val="951B81"/>
                <w:sz w:val="20"/>
                <w:szCs w:val="20"/>
              </w:rPr>
            </w:pPr>
            <w:r w:rsidRPr="00134B17">
              <w:rPr>
                <w:b/>
                <w:color w:val="951B81"/>
                <w:sz w:val="44"/>
                <w:szCs w:val="44"/>
              </w:rPr>
              <w:t>Plan</w:t>
            </w:r>
            <w:r w:rsidRPr="00134B17">
              <w:rPr>
                <w:b/>
                <w:color w:val="951B81"/>
                <w:sz w:val="24"/>
                <w:szCs w:val="24"/>
              </w:rPr>
              <w:t xml:space="preserve"> </w:t>
            </w:r>
            <w:r w:rsidRPr="00134B17">
              <w:rPr>
                <w:color w:val="951B81"/>
                <w:sz w:val="24"/>
                <w:szCs w:val="24"/>
              </w:rPr>
              <w:t>Planifier</w:t>
            </w:r>
            <w:r w:rsidRPr="00134B17">
              <w:rPr>
                <w:b/>
                <w:color w:val="951B81"/>
                <w:sz w:val="20"/>
                <w:szCs w:val="20"/>
              </w:rPr>
              <w:t xml:space="preserve"> Contexte, stratégie, sens, objectifs</w:t>
            </w:r>
          </w:p>
          <w:p w14:paraId="50146D4D" w14:textId="77777777" w:rsidR="00744C6F" w:rsidRPr="00134B17" w:rsidRDefault="00744C6F" w:rsidP="001C3068">
            <w:pPr>
              <w:widowControl w:val="0"/>
              <w:ind w:left="284" w:right="172"/>
              <w:jc w:val="both"/>
              <w:rPr>
                <w:sz w:val="17"/>
                <w:szCs w:val="17"/>
              </w:rPr>
            </w:pPr>
          </w:p>
          <w:p w14:paraId="3AB20787" w14:textId="77777777" w:rsidR="00744C6F" w:rsidRPr="004E2E8E" w:rsidRDefault="00744C6F" w:rsidP="004E2E8E">
            <w:pPr>
              <w:pStyle w:val="Paragraphedeliste"/>
              <w:numPr>
                <w:ilvl w:val="0"/>
                <w:numId w:val="27"/>
              </w:numPr>
              <w:ind w:left="318"/>
              <w:rPr>
                <w:rStyle w:val="Marquedecommentaire"/>
                <w:sz w:val="20"/>
                <w:szCs w:val="20"/>
                <w:lang w:val="fr-FR"/>
              </w:rPr>
            </w:pPr>
            <w:r w:rsidRPr="004E2E8E">
              <w:rPr>
                <w:rStyle w:val="Marquedecommentaire"/>
                <w:sz w:val="20"/>
                <w:szCs w:val="20"/>
                <w:lang w:val="fr-FR"/>
              </w:rPr>
              <w:t>Quelle formation initiale et continue proposer pour répondre aux attentes d’un établissement français à l’étranger / dans un contexte local / au public accueilli tout en s’adaptant aux ressources humaines mobilisées ?</w:t>
            </w:r>
          </w:p>
          <w:p w14:paraId="11CF3414" w14:textId="77777777" w:rsidR="00744C6F" w:rsidRPr="00D01D26" w:rsidRDefault="00744C6F" w:rsidP="001C3068">
            <w:pPr>
              <w:ind w:left="186" w:hanging="186"/>
              <w:rPr>
                <w:rFonts w:asciiTheme="majorHAnsi" w:hAnsiTheme="majorHAnsi" w:cs="Tahoma"/>
                <w:b/>
                <w:sz w:val="20"/>
                <w:szCs w:val="20"/>
              </w:rPr>
            </w:pPr>
          </w:p>
          <w:p w14:paraId="5AD796BD" w14:textId="77777777" w:rsidR="00744C6F" w:rsidRPr="00D01D26" w:rsidRDefault="00744C6F" w:rsidP="001C3068">
            <w:pPr>
              <w:widowControl w:val="0"/>
              <w:numPr>
                <w:ilvl w:val="0"/>
                <w:numId w:val="10"/>
              </w:numPr>
              <w:ind w:left="284" w:right="172" w:hanging="194"/>
              <w:rPr>
                <w:rFonts w:asciiTheme="majorHAnsi" w:hAnsiTheme="majorHAnsi"/>
                <w:sz w:val="20"/>
                <w:szCs w:val="20"/>
              </w:rPr>
            </w:pPr>
            <w:r w:rsidRPr="00D01D26">
              <w:rPr>
                <w:rFonts w:asciiTheme="majorHAnsi" w:hAnsiTheme="majorHAnsi"/>
                <w:sz w:val="20"/>
                <w:szCs w:val="20"/>
              </w:rPr>
              <w:t>Comment l’offre de formation initiale et continue des personnels est-elle intégrée dans le projet d’école/ d’établissement ? avec quelles stratégies ? quels objectifs ? quels indicateurs établis et connus de tous ?</w:t>
            </w:r>
          </w:p>
          <w:p w14:paraId="1BBEC28E" w14:textId="77777777" w:rsidR="00744C6F" w:rsidRPr="00D01D26" w:rsidRDefault="00744C6F" w:rsidP="001C3068">
            <w:pPr>
              <w:widowControl w:val="0"/>
              <w:numPr>
                <w:ilvl w:val="0"/>
                <w:numId w:val="10"/>
              </w:numPr>
              <w:ind w:left="284" w:right="172" w:hanging="194"/>
              <w:rPr>
                <w:rFonts w:asciiTheme="majorHAnsi" w:hAnsiTheme="majorHAnsi"/>
                <w:sz w:val="20"/>
                <w:szCs w:val="20"/>
              </w:rPr>
            </w:pPr>
            <w:r w:rsidRPr="00D01D26">
              <w:rPr>
                <w:rFonts w:asciiTheme="majorHAnsi" w:hAnsiTheme="majorHAnsi"/>
                <w:sz w:val="20"/>
                <w:szCs w:val="20"/>
              </w:rPr>
              <w:t>Son évolution et sa cohérence sont-elles envisagées et explicitées dans les instances ?</w:t>
            </w:r>
          </w:p>
          <w:p w14:paraId="003A78AA" w14:textId="77777777" w:rsidR="00744C6F" w:rsidRDefault="00744C6F" w:rsidP="001C3068">
            <w:pPr>
              <w:widowControl w:val="0"/>
              <w:ind w:right="172"/>
              <w:rPr>
                <w:rFonts w:asciiTheme="majorHAnsi" w:hAnsiTheme="majorHAnsi"/>
                <w:sz w:val="17"/>
                <w:szCs w:val="17"/>
              </w:rPr>
            </w:pPr>
          </w:p>
          <w:p w14:paraId="5E33B246" w14:textId="77777777" w:rsidR="00744C6F" w:rsidRPr="00705621" w:rsidRDefault="00744C6F" w:rsidP="001C3068">
            <w:pPr>
              <w:contextualSpacing/>
              <w:rPr>
                <w:rFonts w:asciiTheme="majorHAnsi" w:hAnsiTheme="majorHAnsi"/>
                <w:sz w:val="17"/>
                <w:szCs w:val="17"/>
              </w:rPr>
            </w:pPr>
          </w:p>
        </w:tc>
        <w:tc>
          <w:tcPr>
            <w:tcW w:w="284" w:type="dxa"/>
            <w:tcBorders>
              <w:top w:val="nil"/>
              <w:left w:val="single" w:sz="24" w:space="0" w:color="951B81"/>
              <w:bottom w:val="nil"/>
              <w:right w:val="single" w:sz="24" w:space="0" w:color="2AAC66"/>
            </w:tcBorders>
          </w:tcPr>
          <w:p w14:paraId="004B2132" w14:textId="77777777" w:rsidR="00744C6F" w:rsidRPr="00134B17" w:rsidRDefault="00744C6F" w:rsidP="001C3068">
            <w:pPr>
              <w:rPr>
                <w:sz w:val="17"/>
                <w:szCs w:val="17"/>
              </w:rPr>
            </w:pPr>
          </w:p>
        </w:tc>
        <w:tc>
          <w:tcPr>
            <w:tcW w:w="9900" w:type="dxa"/>
            <w:tcBorders>
              <w:top w:val="single" w:sz="24" w:space="0" w:color="2AAC66"/>
              <w:left w:val="single" w:sz="24" w:space="0" w:color="2AAC66"/>
              <w:bottom w:val="single" w:sz="24" w:space="0" w:color="2AAC66"/>
              <w:right w:val="single" w:sz="24" w:space="0" w:color="2AAC66"/>
            </w:tcBorders>
          </w:tcPr>
          <w:p w14:paraId="5D451D08" w14:textId="0DD8F48B" w:rsidR="00744C6F" w:rsidRPr="00654037" w:rsidRDefault="00744C6F" w:rsidP="001C3068">
            <w:pPr>
              <w:widowControl w:val="0"/>
              <w:tabs>
                <w:tab w:val="left" w:pos="323"/>
                <w:tab w:val="left" w:pos="691"/>
              </w:tabs>
              <w:ind w:right="172"/>
              <w:jc w:val="both"/>
              <w:rPr>
                <w:b/>
                <w:color w:val="2AAC66"/>
                <w:sz w:val="20"/>
                <w:szCs w:val="20"/>
              </w:rPr>
            </w:pPr>
            <w:r w:rsidRPr="00134B17">
              <w:rPr>
                <w:b/>
                <w:color w:val="2AAC66"/>
                <w:sz w:val="44"/>
                <w:szCs w:val="44"/>
              </w:rPr>
              <w:t>Do</w:t>
            </w:r>
            <w:r w:rsidRPr="00134B17">
              <w:rPr>
                <w:b/>
                <w:color w:val="2AAC66"/>
                <w:sz w:val="24"/>
                <w:szCs w:val="24"/>
              </w:rPr>
              <w:t xml:space="preserve"> </w:t>
            </w:r>
            <w:r w:rsidRPr="00134B17">
              <w:rPr>
                <w:b/>
                <w:color w:val="2AAC66"/>
              </w:rPr>
              <w:t xml:space="preserve"> </w:t>
            </w:r>
            <w:r w:rsidRPr="0079647D">
              <w:rPr>
                <w:color w:val="2AAC66"/>
                <w:sz w:val="24"/>
                <w:szCs w:val="24"/>
              </w:rPr>
              <w:t>Mettre en œuvre</w:t>
            </w:r>
            <w:r w:rsidRPr="00654037">
              <w:rPr>
                <w:b/>
                <w:color w:val="2AAC66"/>
                <w:sz w:val="20"/>
                <w:szCs w:val="20"/>
              </w:rPr>
              <w:t xml:space="preserve"> </w:t>
            </w:r>
            <w:r>
              <w:rPr>
                <w:b/>
                <w:color w:val="2AAC66"/>
                <w:sz w:val="20"/>
                <w:szCs w:val="20"/>
              </w:rPr>
              <w:t xml:space="preserve"> </w:t>
            </w:r>
            <w:r w:rsidRPr="00654037">
              <w:rPr>
                <w:b/>
                <w:color w:val="2AAC66"/>
                <w:sz w:val="20"/>
                <w:szCs w:val="20"/>
              </w:rPr>
              <w:t>Acteurs – Actions – Moyens – Temps</w:t>
            </w:r>
          </w:p>
          <w:p w14:paraId="3F7799A5" w14:textId="77777777" w:rsidR="00744C6F" w:rsidRPr="00D01D26" w:rsidRDefault="00744C6F" w:rsidP="001C3068">
            <w:pPr>
              <w:widowControl w:val="0"/>
              <w:tabs>
                <w:tab w:val="left" w:pos="323"/>
              </w:tabs>
              <w:ind w:right="172"/>
              <w:jc w:val="both"/>
              <w:rPr>
                <w:b/>
                <w:color w:val="2AAC66"/>
                <w:sz w:val="12"/>
                <w:szCs w:val="20"/>
              </w:rPr>
            </w:pPr>
          </w:p>
          <w:p w14:paraId="6A4E19B8" w14:textId="77777777" w:rsidR="00744C6F" w:rsidRPr="00744C6F" w:rsidRDefault="00744C6F" w:rsidP="001C3068">
            <w:pPr>
              <w:contextualSpacing/>
              <w:rPr>
                <w:b/>
                <w:sz w:val="16"/>
                <w:szCs w:val="18"/>
              </w:rPr>
            </w:pPr>
            <w:r w:rsidRPr="00744C6F">
              <w:rPr>
                <w:b/>
                <w:sz w:val="16"/>
                <w:szCs w:val="18"/>
              </w:rPr>
              <w:t xml:space="preserve">Pilotage et suivi </w:t>
            </w:r>
          </w:p>
          <w:p w14:paraId="513D8C52" w14:textId="77777777" w:rsidR="00744C6F" w:rsidRPr="00744C6F" w:rsidRDefault="00744C6F" w:rsidP="001C3068">
            <w:pPr>
              <w:widowControl w:val="0"/>
              <w:numPr>
                <w:ilvl w:val="0"/>
                <w:numId w:val="10"/>
              </w:numPr>
              <w:tabs>
                <w:tab w:val="left" w:pos="323"/>
              </w:tabs>
              <w:ind w:left="284" w:right="172" w:hanging="194"/>
              <w:contextualSpacing/>
              <w:jc w:val="both"/>
              <w:rPr>
                <w:rFonts w:asciiTheme="majorHAnsi" w:hAnsiTheme="majorHAnsi"/>
                <w:sz w:val="16"/>
                <w:szCs w:val="18"/>
              </w:rPr>
            </w:pPr>
            <w:r w:rsidRPr="00744C6F">
              <w:rPr>
                <w:rFonts w:asciiTheme="majorHAnsi" w:hAnsiTheme="majorHAnsi"/>
                <w:sz w:val="16"/>
                <w:szCs w:val="18"/>
              </w:rPr>
              <w:t>Comment sont recensés les besoins de formation de l’établissement ? Comment fonctionne la cellule de formation ? Quels sont les critères pour prioriser les besoins de formation? Quels sont les référentiels utilisés par l’établissement ? Quelle est la répartition des fonctions assurées par l’équipe de direction en matière de formation? Existe-il des coordonnateurs/ des référents pour la formation au sein des équipes enseignantes?</w:t>
            </w:r>
          </w:p>
          <w:p w14:paraId="413D15E2" w14:textId="77777777" w:rsidR="00744C6F" w:rsidRPr="00744C6F" w:rsidRDefault="00744C6F" w:rsidP="001C3068">
            <w:pPr>
              <w:widowControl w:val="0"/>
              <w:numPr>
                <w:ilvl w:val="0"/>
                <w:numId w:val="10"/>
              </w:numPr>
              <w:tabs>
                <w:tab w:val="left" w:pos="323"/>
              </w:tabs>
              <w:ind w:left="284" w:right="172" w:hanging="194"/>
              <w:contextualSpacing/>
              <w:jc w:val="both"/>
              <w:rPr>
                <w:rFonts w:asciiTheme="majorHAnsi" w:hAnsiTheme="majorHAnsi"/>
                <w:sz w:val="16"/>
                <w:szCs w:val="18"/>
              </w:rPr>
            </w:pPr>
            <w:r w:rsidRPr="00744C6F">
              <w:rPr>
                <w:rFonts w:asciiTheme="majorHAnsi" w:hAnsiTheme="majorHAnsi"/>
                <w:sz w:val="16"/>
                <w:szCs w:val="18"/>
              </w:rPr>
              <w:t>Comment l’établissement prend-il en compte, dans son plan de formation, les recommandations adressées par les rapports d’inspection ou formulées par la commission interministérielle d’homologation ? L’établissement fait-il appel à l’expertise des corps d’inspection ou à des formateurs de l’éducation nationale ?</w:t>
            </w:r>
          </w:p>
          <w:p w14:paraId="5F7D4EC0" w14:textId="29DFAFC6" w:rsidR="00744C6F" w:rsidRPr="00744C6F" w:rsidRDefault="00744C6F" w:rsidP="001C3068">
            <w:pPr>
              <w:widowControl w:val="0"/>
              <w:numPr>
                <w:ilvl w:val="0"/>
                <w:numId w:val="10"/>
              </w:numPr>
              <w:tabs>
                <w:tab w:val="left" w:pos="323"/>
              </w:tabs>
              <w:ind w:left="284" w:right="172" w:hanging="194"/>
              <w:contextualSpacing/>
              <w:jc w:val="both"/>
              <w:rPr>
                <w:rFonts w:asciiTheme="majorHAnsi" w:hAnsiTheme="majorHAnsi"/>
                <w:sz w:val="16"/>
                <w:szCs w:val="18"/>
              </w:rPr>
            </w:pPr>
            <w:r w:rsidRPr="00744C6F">
              <w:rPr>
                <w:rFonts w:asciiTheme="majorHAnsi" w:hAnsiTheme="majorHAnsi"/>
                <w:sz w:val="16"/>
                <w:szCs w:val="18"/>
              </w:rPr>
              <w:t>Existe-t-il un tableau de bord / plan de suivi pluriannuel de la formation (nombre d’actions de formation, typologie, demande</w:t>
            </w:r>
            <w:r w:rsidR="004E2E8E">
              <w:rPr>
                <w:rFonts w:asciiTheme="majorHAnsi" w:hAnsiTheme="majorHAnsi"/>
                <w:sz w:val="16"/>
                <w:szCs w:val="18"/>
              </w:rPr>
              <w:t>s</w:t>
            </w:r>
            <w:r w:rsidRPr="00744C6F">
              <w:rPr>
                <w:rFonts w:asciiTheme="majorHAnsi" w:hAnsiTheme="majorHAnsi"/>
                <w:sz w:val="16"/>
                <w:szCs w:val="18"/>
              </w:rPr>
              <w:t xml:space="preserve">, indicateurs d’impact, budget) ? Par qui et à quelle fréquence est-il mis à jour ? </w:t>
            </w:r>
          </w:p>
          <w:p w14:paraId="6542F8CF" w14:textId="5B5C87FF" w:rsidR="00744C6F" w:rsidRPr="00744C6F" w:rsidRDefault="00744C6F" w:rsidP="001C3068">
            <w:pPr>
              <w:widowControl w:val="0"/>
              <w:numPr>
                <w:ilvl w:val="0"/>
                <w:numId w:val="10"/>
              </w:numPr>
              <w:tabs>
                <w:tab w:val="left" w:pos="323"/>
              </w:tabs>
              <w:ind w:left="284" w:right="172" w:hanging="194"/>
              <w:contextualSpacing/>
              <w:jc w:val="both"/>
              <w:rPr>
                <w:rFonts w:asciiTheme="majorHAnsi" w:hAnsiTheme="majorHAnsi"/>
                <w:sz w:val="16"/>
                <w:szCs w:val="18"/>
              </w:rPr>
            </w:pPr>
            <w:r w:rsidRPr="00744C6F">
              <w:rPr>
                <w:rFonts w:asciiTheme="majorHAnsi" w:hAnsiTheme="majorHAnsi"/>
                <w:sz w:val="16"/>
                <w:szCs w:val="18"/>
              </w:rPr>
              <w:t>Comment (périodicité, procédure, moyens humains) les évaluations qualitatives des formations sont-elles établies et formalisées dans l’établissement? Dans quelle proportion, suivant quelle procédure, et par quelle</w:t>
            </w:r>
            <w:r w:rsidR="004E2E8E">
              <w:rPr>
                <w:rFonts w:asciiTheme="majorHAnsi" w:hAnsiTheme="majorHAnsi"/>
                <w:sz w:val="16"/>
                <w:szCs w:val="18"/>
              </w:rPr>
              <w:t>(s)</w:t>
            </w:r>
            <w:r w:rsidRPr="00744C6F">
              <w:rPr>
                <w:rFonts w:asciiTheme="majorHAnsi" w:hAnsiTheme="majorHAnsi"/>
                <w:sz w:val="16"/>
                <w:szCs w:val="18"/>
              </w:rPr>
              <w:t xml:space="preserve"> instance</w:t>
            </w:r>
            <w:r w:rsidR="004E2E8E">
              <w:rPr>
                <w:rFonts w:asciiTheme="majorHAnsi" w:hAnsiTheme="majorHAnsi"/>
                <w:sz w:val="16"/>
                <w:szCs w:val="18"/>
              </w:rPr>
              <w:t>(s)</w:t>
            </w:r>
            <w:r w:rsidRPr="00744C6F">
              <w:rPr>
                <w:rFonts w:asciiTheme="majorHAnsi" w:hAnsiTheme="majorHAnsi"/>
                <w:sz w:val="16"/>
                <w:szCs w:val="18"/>
              </w:rPr>
              <w:t xml:space="preserve"> l</w:t>
            </w:r>
            <w:r w:rsidR="004E2E8E">
              <w:rPr>
                <w:rFonts w:asciiTheme="majorHAnsi" w:hAnsiTheme="majorHAnsi"/>
                <w:sz w:val="16"/>
                <w:szCs w:val="18"/>
              </w:rPr>
              <w:t xml:space="preserve">’évaluation </w:t>
            </w:r>
            <w:r w:rsidRPr="00744C6F">
              <w:rPr>
                <w:rFonts w:asciiTheme="majorHAnsi" w:hAnsiTheme="majorHAnsi"/>
                <w:sz w:val="16"/>
                <w:szCs w:val="18"/>
              </w:rPr>
              <w:t>des plans de formation sont-elles prises en compte pour l’établissement des plans</w:t>
            </w:r>
            <w:r w:rsidR="004E2E8E">
              <w:rPr>
                <w:rFonts w:asciiTheme="majorHAnsi" w:hAnsiTheme="majorHAnsi"/>
                <w:sz w:val="16"/>
                <w:szCs w:val="18"/>
              </w:rPr>
              <w:t xml:space="preserve"> suivants </w:t>
            </w:r>
            <w:r w:rsidRPr="00744C6F">
              <w:rPr>
                <w:rFonts w:asciiTheme="majorHAnsi" w:hAnsiTheme="majorHAnsi"/>
                <w:sz w:val="16"/>
                <w:szCs w:val="18"/>
              </w:rPr>
              <w:t>? Quelle articulation avec le tableau de bord ?</w:t>
            </w:r>
          </w:p>
          <w:p w14:paraId="054DF532" w14:textId="77777777" w:rsidR="004E2E8E" w:rsidRDefault="00744C6F" w:rsidP="001C3068">
            <w:pPr>
              <w:widowControl w:val="0"/>
              <w:numPr>
                <w:ilvl w:val="0"/>
                <w:numId w:val="10"/>
              </w:numPr>
              <w:tabs>
                <w:tab w:val="left" w:pos="323"/>
              </w:tabs>
              <w:ind w:left="284" w:right="172" w:hanging="194"/>
              <w:contextualSpacing/>
              <w:jc w:val="both"/>
              <w:rPr>
                <w:rFonts w:asciiTheme="majorHAnsi" w:hAnsiTheme="majorHAnsi"/>
                <w:sz w:val="16"/>
                <w:szCs w:val="18"/>
              </w:rPr>
            </w:pPr>
            <w:r w:rsidRPr="00744C6F">
              <w:rPr>
                <w:rFonts w:asciiTheme="majorHAnsi" w:hAnsiTheme="majorHAnsi"/>
                <w:sz w:val="16"/>
                <w:szCs w:val="18"/>
              </w:rPr>
              <w:t>Quel est le lien entre le plan de formation et le sc</w:t>
            </w:r>
            <w:r w:rsidR="004E2E8E">
              <w:rPr>
                <w:rFonts w:asciiTheme="majorHAnsi" w:hAnsiTheme="majorHAnsi"/>
                <w:sz w:val="16"/>
                <w:szCs w:val="18"/>
              </w:rPr>
              <w:t>héma prévisionnel des emplois ?</w:t>
            </w:r>
          </w:p>
          <w:p w14:paraId="55500DF7" w14:textId="1AC43CFC" w:rsidR="00744C6F" w:rsidRPr="00744C6F" w:rsidRDefault="00744C6F" w:rsidP="001C3068">
            <w:pPr>
              <w:widowControl w:val="0"/>
              <w:numPr>
                <w:ilvl w:val="0"/>
                <w:numId w:val="10"/>
              </w:numPr>
              <w:tabs>
                <w:tab w:val="left" w:pos="323"/>
              </w:tabs>
              <w:ind w:left="284" w:right="172" w:hanging="194"/>
              <w:contextualSpacing/>
              <w:jc w:val="both"/>
              <w:rPr>
                <w:rFonts w:asciiTheme="majorHAnsi" w:hAnsiTheme="majorHAnsi"/>
                <w:sz w:val="16"/>
                <w:szCs w:val="18"/>
              </w:rPr>
            </w:pPr>
            <w:r w:rsidRPr="00744C6F">
              <w:rPr>
                <w:rFonts w:asciiTheme="majorHAnsi" w:hAnsiTheme="majorHAnsi"/>
                <w:sz w:val="16"/>
                <w:szCs w:val="18"/>
              </w:rPr>
              <w:t>Quel est le lien entre les actions de formation et le projet d’école / d’établissement ?</w:t>
            </w:r>
          </w:p>
          <w:p w14:paraId="7B34A4BA" w14:textId="75643D66" w:rsidR="00744C6F" w:rsidRPr="00744C6F" w:rsidRDefault="00744C6F" w:rsidP="001C3068">
            <w:pPr>
              <w:widowControl w:val="0"/>
              <w:numPr>
                <w:ilvl w:val="0"/>
                <w:numId w:val="10"/>
              </w:numPr>
              <w:tabs>
                <w:tab w:val="left" w:pos="323"/>
              </w:tabs>
              <w:ind w:left="284" w:right="172" w:hanging="194"/>
              <w:contextualSpacing/>
              <w:jc w:val="both"/>
              <w:rPr>
                <w:rFonts w:asciiTheme="majorHAnsi" w:hAnsiTheme="majorHAnsi"/>
                <w:sz w:val="16"/>
                <w:szCs w:val="18"/>
              </w:rPr>
            </w:pPr>
            <w:r w:rsidRPr="00744C6F">
              <w:rPr>
                <w:rFonts w:asciiTheme="majorHAnsi" w:hAnsiTheme="majorHAnsi"/>
                <w:sz w:val="16"/>
                <w:szCs w:val="18"/>
              </w:rPr>
              <w:t>Les autorités locales proposent / imposent-elles le suivi de formations spécifiques? Comment s’articulent-elles avec les formations dispensées dans le cadre du système éducatif </w:t>
            </w:r>
            <w:r w:rsidR="004E2E8E">
              <w:rPr>
                <w:rFonts w:asciiTheme="majorHAnsi" w:hAnsiTheme="majorHAnsi"/>
                <w:sz w:val="16"/>
                <w:szCs w:val="18"/>
              </w:rPr>
              <w:t>français</w:t>
            </w:r>
            <w:r w:rsidRPr="00744C6F">
              <w:rPr>
                <w:rFonts w:asciiTheme="majorHAnsi" w:hAnsiTheme="majorHAnsi"/>
                <w:sz w:val="16"/>
                <w:szCs w:val="18"/>
              </w:rPr>
              <w:t>?</w:t>
            </w:r>
          </w:p>
          <w:p w14:paraId="2DA07845" w14:textId="77777777" w:rsidR="00744C6F" w:rsidRPr="00744C6F" w:rsidRDefault="00744C6F" w:rsidP="001C3068">
            <w:pPr>
              <w:widowControl w:val="0"/>
              <w:numPr>
                <w:ilvl w:val="0"/>
                <w:numId w:val="10"/>
              </w:numPr>
              <w:tabs>
                <w:tab w:val="left" w:pos="323"/>
              </w:tabs>
              <w:ind w:left="284" w:right="172" w:hanging="194"/>
              <w:contextualSpacing/>
              <w:jc w:val="both"/>
              <w:rPr>
                <w:rFonts w:asciiTheme="majorHAnsi" w:hAnsiTheme="majorHAnsi"/>
                <w:sz w:val="16"/>
                <w:szCs w:val="18"/>
              </w:rPr>
            </w:pPr>
            <w:r w:rsidRPr="00744C6F">
              <w:rPr>
                <w:rFonts w:asciiTheme="majorHAnsi" w:hAnsiTheme="majorHAnsi"/>
                <w:sz w:val="16"/>
                <w:szCs w:val="18"/>
              </w:rPr>
              <w:t>Pour les établissements dont la section homologuée constitue l’une des sections de l’établissement, de quelle autonomie dispose la section en matière de formation ?</w:t>
            </w:r>
          </w:p>
          <w:p w14:paraId="0032BCEC" w14:textId="77777777" w:rsidR="00744C6F" w:rsidRPr="00744C6F" w:rsidRDefault="00744C6F" w:rsidP="001C3068">
            <w:pPr>
              <w:widowControl w:val="0"/>
              <w:tabs>
                <w:tab w:val="left" w:pos="323"/>
              </w:tabs>
              <w:ind w:right="172"/>
              <w:contextualSpacing/>
              <w:jc w:val="both"/>
              <w:rPr>
                <w:rFonts w:asciiTheme="majorHAnsi" w:hAnsiTheme="majorHAnsi"/>
                <w:sz w:val="16"/>
                <w:szCs w:val="18"/>
              </w:rPr>
            </w:pPr>
          </w:p>
          <w:p w14:paraId="358652A5" w14:textId="77777777" w:rsidR="00744C6F" w:rsidRPr="00744C6F" w:rsidRDefault="00744C6F" w:rsidP="001C3068">
            <w:pPr>
              <w:ind w:left="176" w:hanging="176"/>
              <w:contextualSpacing/>
              <w:rPr>
                <w:rFonts w:asciiTheme="majorHAnsi" w:hAnsiTheme="majorHAnsi" w:cs="Tahoma"/>
                <w:b/>
                <w:sz w:val="16"/>
                <w:szCs w:val="18"/>
              </w:rPr>
            </w:pPr>
            <w:r w:rsidRPr="00744C6F">
              <w:rPr>
                <w:rFonts w:asciiTheme="majorHAnsi" w:hAnsiTheme="majorHAnsi" w:cs="Tahoma"/>
                <w:b/>
                <w:sz w:val="16"/>
                <w:szCs w:val="18"/>
              </w:rPr>
              <w:t>Actions</w:t>
            </w:r>
          </w:p>
          <w:p w14:paraId="7D1D6486" w14:textId="77777777" w:rsidR="00744C6F" w:rsidRPr="00744C6F" w:rsidRDefault="00744C6F" w:rsidP="001C3068">
            <w:pPr>
              <w:widowControl w:val="0"/>
              <w:numPr>
                <w:ilvl w:val="0"/>
                <w:numId w:val="10"/>
              </w:numPr>
              <w:tabs>
                <w:tab w:val="left" w:pos="323"/>
              </w:tabs>
              <w:ind w:left="284" w:right="172" w:hanging="194"/>
              <w:contextualSpacing/>
              <w:jc w:val="both"/>
              <w:rPr>
                <w:rFonts w:asciiTheme="majorHAnsi" w:hAnsiTheme="majorHAnsi"/>
                <w:sz w:val="16"/>
                <w:szCs w:val="18"/>
              </w:rPr>
            </w:pPr>
            <w:r w:rsidRPr="00744C6F">
              <w:rPr>
                <w:rFonts w:asciiTheme="majorHAnsi" w:hAnsiTheme="majorHAnsi"/>
                <w:sz w:val="16"/>
                <w:szCs w:val="18"/>
              </w:rPr>
              <w:t xml:space="preserve">Quelles sont les actions de formation continue auxquelles participent les personnels de l’établissement  en précisant leur typologie (stage long, stage court, regroupement, parcours sur une année, en zone, en interzone, ouvert, public désigné, à distance, hybride…)? Quelles formations / accompagnement l’établissement met-il en place à destination des enseignants néo-recrutés ? </w:t>
            </w:r>
          </w:p>
          <w:p w14:paraId="6BA65613" w14:textId="39996884" w:rsidR="00744C6F" w:rsidRPr="00744C6F" w:rsidRDefault="00744C6F" w:rsidP="001C3068">
            <w:pPr>
              <w:widowControl w:val="0"/>
              <w:numPr>
                <w:ilvl w:val="0"/>
                <w:numId w:val="10"/>
              </w:numPr>
              <w:tabs>
                <w:tab w:val="left" w:pos="323"/>
              </w:tabs>
              <w:ind w:left="284" w:right="172" w:hanging="194"/>
              <w:contextualSpacing/>
              <w:jc w:val="both"/>
              <w:rPr>
                <w:rFonts w:asciiTheme="majorHAnsi" w:hAnsiTheme="majorHAnsi"/>
                <w:sz w:val="16"/>
                <w:szCs w:val="18"/>
              </w:rPr>
            </w:pPr>
            <w:r w:rsidRPr="00744C6F">
              <w:rPr>
                <w:rFonts w:asciiTheme="majorHAnsi" w:hAnsiTheme="majorHAnsi"/>
                <w:sz w:val="16"/>
                <w:szCs w:val="18"/>
              </w:rPr>
              <w:t xml:space="preserve">Quelle est la part des actions qui ont lieu au sein de l’établissement ? Quelle proportion s’inscrit dans le cadre du plan zone ? Quelles sont les actions mises en place à l’initiative de l’établissement ? Quelle est la proportion de formations à distance  ou hybrides? </w:t>
            </w:r>
            <w:r w:rsidR="004E2E8E">
              <w:rPr>
                <w:rFonts w:asciiTheme="majorHAnsi" w:hAnsiTheme="majorHAnsi"/>
                <w:sz w:val="16"/>
                <w:szCs w:val="18"/>
              </w:rPr>
              <w:t>L’établissement f</w:t>
            </w:r>
            <w:r w:rsidRPr="00744C6F">
              <w:rPr>
                <w:rFonts w:asciiTheme="majorHAnsi" w:hAnsiTheme="majorHAnsi"/>
                <w:sz w:val="16"/>
                <w:szCs w:val="18"/>
              </w:rPr>
              <w:t xml:space="preserve">onctionne-t-il en réseau (établissements du réseau homologué, établissements français)? Comment s’effectue le choix ? </w:t>
            </w:r>
          </w:p>
          <w:p w14:paraId="6740F83B" w14:textId="77777777" w:rsidR="00744C6F" w:rsidRPr="00744C6F" w:rsidRDefault="00744C6F" w:rsidP="001C3068">
            <w:pPr>
              <w:widowControl w:val="0"/>
              <w:numPr>
                <w:ilvl w:val="0"/>
                <w:numId w:val="10"/>
              </w:numPr>
              <w:tabs>
                <w:tab w:val="left" w:pos="323"/>
              </w:tabs>
              <w:ind w:left="284" w:right="172" w:hanging="194"/>
              <w:contextualSpacing/>
              <w:jc w:val="both"/>
              <w:rPr>
                <w:rFonts w:asciiTheme="majorHAnsi" w:hAnsiTheme="majorHAnsi"/>
                <w:sz w:val="16"/>
                <w:szCs w:val="18"/>
              </w:rPr>
            </w:pPr>
            <w:r w:rsidRPr="00744C6F">
              <w:rPr>
                <w:rFonts w:asciiTheme="majorHAnsi" w:hAnsiTheme="majorHAnsi"/>
                <w:sz w:val="16"/>
                <w:szCs w:val="18"/>
              </w:rPr>
              <w:t xml:space="preserve">Quelle est la place de la formation entre pairs ? du tutorat (y compris à distance) ? de l’accompagnement ? </w:t>
            </w:r>
          </w:p>
          <w:p w14:paraId="427FEDD6" w14:textId="07C3ED06" w:rsidR="00744C6F" w:rsidRPr="00744C6F" w:rsidRDefault="00744C6F" w:rsidP="001C3068">
            <w:pPr>
              <w:widowControl w:val="0"/>
              <w:numPr>
                <w:ilvl w:val="0"/>
                <w:numId w:val="10"/>
              </w:numPr>
              <w:tabs>
                <w:tab w:val="left" w:pos="323"/>
              </w:tabs>
              <w:ind w:left="284" w:right="172" w:hanging="194"/>
              <w:contextualSpacing/>
              <w:jc w:val="both"/>
              <w:rPr>
                <w:rFonts w:asciiTheme="majorHAnsi" w:hAnsiTheme="majorHAnsi"/>
                <w:sz w:val="16"/>
                <w:szCs w:val="18"/>
              </w:rPr>
            </w:pPr>
            <w:r w:rsidRPr="00744C6F">
              <w:rPr>
                <w:rFonts w:asciiTheme="majorHAnsi" w:hAnsiTheme="majorHAnsi"/>
                <w:sz w:val="16"/>
                <w:szCs w:val="18"/>
              </w:rPr>
              <w:t>Tous les personnels sont-ils formés au programme français / au système éducatif français ? Comment s’effectue la formation des enseignants qui ne maîtriseraient pas le français (formation en français, certification)</w:t>
            </w:r>
            <w:r>
              <w:rPr>
                <w:rFonts w:asciiTheme="majorHAnsi" w:hAnsiTheme="majorHAnsi"/>
                <w:sz w:val="16"/>
                <w:szCs w:val="18"/>
              </w:rPr>
              <w:t> ?</w:t>
            </w:r>
          </w:p>
          <w:p w14:paraId="40D414FE" w14:textId="77777777" w:rsidR="00744C6F" w:rsidRPr="00744C6F" w:rsidRDefault="00744C6F" w:rsidP="001C3068">
            <w:pPr>
              <w:widowControl w:val="0"/>
              <w:numPr>
                <w:ilvl w:val="0"/>
                <w:numId w:val="10"/>
              </w:numPr>
              <w:tabs>
                <w:tab w:val="left" w:pos="323"/>
              </w:tabs>
              <w:ind w:left="284" w:right="172" w:hanging="194"/>
              <w:contextualSpacing/>
              <w:jc w:val="both"/>
              <w:rPr>
                <w:rFonts w:asciiTheme="majorHAnsi" w:hAnsiTheme="majorHAnsi"/>
                <w:sz w:val="16"/>
                <w:szCs w:val="18"/>
              </w:rPr>
            </w:pPr>
            <w:r w:rsidRPr="00744C6F">
              <w:rPr>
                <w:rFonts w:asciiTheme="majorHAnsi" w:hAnsiTheme="majorHAnsi"/>
                <w:sz w:val="16"/>
                <w:szCs w:val="18"/>
              </w:rPr>
              <w:t>Comment sont organisées les restitutions des actions de formation ? Existe-t-il des temps formalisés ? Des lieux de partage (ENT) de la formation ?</w:t>
            </w:r>
          </w:p>
          <w:p w14:paraId="23361D7B" w14:textId="77777777" w:rsidR="00744C6F" w:rsidRPr="00744C6F" w:rsidRDefault="00744C6F" w:rsidP="001C3068">
            <w:pPr>
              <w:widowControl w:val="0"/>
              <w:tabs>
                <w:tab w:val="left" w:pos="323"/>
              </w:tabs>
              <w:ind w:left="284" w:right="172"/>
              <w:contextualSpacing/>
              <w:jc w:val="both"/>
              <w:rPr>
                <w:rFonts w:asciiTheme="majorHAnsi" w:hAnsiTheme="majorHAnsi"/>
                <w:sz w:val="16"/>
                <w:szCs w:val="18"/>
              </w:rPr>
            </w:pPr>
          </w:p>
          <w:p w14:paraId="6E15BCEA" w14:textId="77777777" w:rsidR="00744C6F" w:rsidRPr="00744C6F" w:rsidRDefault="00744C6F" w:rsidP="001C3068">
            <w:pPr>
              <w:ind w:left="176" w:hanging="176"/>
              <w:contextualSpacing/>
              <w:rPr>
                <w:rFonts w:asciiTheme="majorHAnsi" w:hAnsiTheme="majorHAnsi" w:cs="Tahoma"/>
                <w:b/>
                <w:sz w:val="16"/>
                <w:szCs w:val="18"/>
              </w:rPr>
            </w:pPr>
            <w:r w:rsidRPr="00744C6F">
              <w:rPr>
                <w:rFonts w:asciiTheme="majorHAnsi" w:hAnsiTheme="majorHAnsi" w:cs="Tahoma"/>
                <w:b/>
                <w:sz w:val="16"/>
                <w:szCs w:val="18"/>
              </w:rPr>
              <w:t>Moyens</w:t>
            </w:r>
          </w:p>
          <w:p w14:paraId="52FD56EA" w14:textId="77777777" w:rsidR="00744C6F" w:rsidRPr="00744C6F" w:rsidRDefault="00744C6F" w:rsidP="001C3068">
            <w:pPr>
              <w:widowControl w:val="0"/>
              <w:numPr>
                <w:ilvl w:val="0"/>
                <w:numId w:val="10"/>
              </w:numPr>
              <w:tabs>
                <w:tab w:val="left" w:pos="323"/>
              </w:tabs>
              <w:ind w:left="284" w:right="172" w:hanging="194"/>
              <w:contextualSpacing/>
              <w:jc w:val="both"/>
              <w:rPr>
                <w:rFonts w:asciiTheme="majorHAnsi" w:hAnsiTheme="majorHAnsi"/>
                <w:sz w:val="16"/>
                <w:szCs w:val="18"/>
              </w:rPr>
            </w:pPr>
            <w:r w:rsidRPr="00744C6F">
              <w:rPr>
                <w:rFonts w:asciiTheme="majorHAnsi" w:hAnsiTheme="majorHAnsi"/>
                <w:sz w:val="16"/>
                <w:szCs w:val="18"/>
              </w:rPr>
              <w:t>Quels sont les moyens dédiés par l’établissement à la formation de tous les personnels (budget, décharges)?</w:t>
            </w:r>
          </w:p>
          <w:p w14:paraId="5BFC3D3A" w14:textId="77777777" w:rsidR="00744C6F" w:rsidRPr="00744C6F" w:rsidRDefault="00744C6F" w:rsidP="001C3068">
            <w:pPr>
              <w:widowControl w:val="0"/>
              <w:numPr>
                <w:ilvl w:val="0"/>
                <w:numId w:val="10"/>
              </w:numPr>
              <w:tabs>
                <w:tab w:val="left" w:pos="323"/>
              </w:tabs>
              <w:ind w:left="284" w:right="172" w:hanging="194"/>
              <w:contextualSpacing/>
              <w:jc w:val="both"/>
              <w:rPr>
                <w:rFonts w:asciiTheme="majorHAnsi" w:hAnsiTheme="majorHAnsi"/>
                <w:sz w:val="16"/>
                <w:szCs w:val="18"/>
              </w:rPr>
            </w:pPr>
            <w:r w:rsidRPr="00744C6F">
              <w:rPr>
                <w:rFonts w:asciiTheme="majorHAnsi" w:hAnsiTheme="majorHAnsi"/>
                <w:sz w:val="16"/>
                <w:szCs w:val="18"/>
              </w:rPr>
              <w:t>Existe-t-il des locaux et des équipements (visio-conférence par exemple, ordinateurs dédiés, logiciels) dédiés à la formation des personnels?</w:t>
            </w:r>
          </w:p>
          <w:p w14:paraId="76C5BB53" w14:textId="77777777" w:rsidR="00744C6F" w:rsidRPr="00744C6F" w:rsidRDefault="00744C6F" w:rsidP="001C3068">
            <w:pPr>
              <w:widowControl w:val="0"/>
              <w:numPr>
                <w:ilvl w:val="0"/>
                <w:numId w:val="10"/>
              </w:numPr>
              <w:tabs>
                <w:tab w:val="left" w:pos="323"/>
              </w:tabs>
              <w:ind w:left="284" w:right="172" w:hanging="194"/>
              <w:contextualSpacing/>
              <w:jc w:val="both"/>
              <w:rPr>
                <w:rFonts w:asciiTheme="majorHAnsi" w:hAnsiTheme="majorHAnsi"/>
                <w:sz w:val="16"/>
                <w:szCs w:val="18"/>
              </w:rPr>
            </w:pPr>
            <w:r w:rsidRPr="00744C6F">
              <w:rPr>
                <w:rFonts w:asciiTheme="majorHAnsi" w:hAnsiTheme="majorHAnsi"/>
                <w:sz w:val="16"/>
                <w:szCs w:val="18"/>
              </w:rPr>
              <w:t>Comment la formation continue est-elle prise en compte dans la préparation de la rentrée et l’organisation du temps scolaire ? (plages horaires dans les emplois du temps des enseignants, remplacements)?</w:t>
            </w:r>
          </w:p>
          <w:p w14:paraId="1AB05684" w14:textId="77777777" w:rsidR="00744C6F" w:rsidRPr="00744C6F" w:rsidRDefault="00744C6F" w:rsidP="001C3068">
            <w:pPr>
              <w:widowControl w:val="0"/>
              <w:numPr>
                <w:ilvl w:val="0"/>
                <w:numId w:val="10"/>
              </w:numPr>
              <w:tabs>
                <w:tab w:val="left" w:pos="323"/>
              </w:tabs>
              <w:ind w:left="284" w:right="172" w:hanging="194"/>
              <w:contextualSpacing/>
              <w:jc w:val="both"/>
              <w:rPr>
                <w:rFonts w:asciiTheme="majorHAnsi" w:hAnsiTheme="majorHAnsi"/>
                <w:sz w:val="16"/>
                <w:szCs w:val="18"/>
              </w:rPr>
            </w:pPr>
            <w:r w:rsidRPr="00744C6F">
              <w:rPr>
                <w:rFonts w:asciiTheme="majorHAnsi" w:hAnsiTheme="majorHAnsi"/>
                <w:sz w:val="16"/>
                <w:szCs w:val="18"/>
              </w:rPr>
              <w:t xml:space="preserve">Existe-t-il des moyens humains spécifiquement dédiés au suivi et à la gestion des formations à distance dans l’établissement ? </w:t>
            </w:r>
          </w:p>
          <w:p w14:paraId="79F3C710" w14:textId="77777777" w:rsidR="00744C6F" w:rsidRPr="00744C6F" w:rsidRDefault="00744C6F" w:rsidP="001C3068">
            <w:pPr>
              <w:widowControl w:val="0"/>
              <w:tabs>
                <w:tab w:val="left" w:pos="323"/>
              </w:tabs>
              <w:ind w:left="284" w:right="172"/>
              <w:contextualSpacing/>
              <w:jc w:val="both"/>
              <w:rPr>
                <w:rFonts w:asciiTheme="majorHAnsi" w:hAnsiTheme="majorHAnsi"/>
                <w:sz w:val="16"/>
                <w:szCs w:val="18"/>
              </w:rPr>
            </w:pPr>
          </w:p>
          <w:p w14:paraId="1828AB19" w14:textId="77777777" w:rsidR="00744C6F" w:rsidRPr="00744C6F" w:rsidRDefault="00744C6F" w:rsidP="001C3068">
            <w:pPr>
              <w:contextualSpacing/>
              <w:rPr>
                <w:b/>
                <w:sz w:val="16"/>
                <w:szCs w:val="18"/>
              </w:rPr>
            </w:pPr>
            <w:r w:rsidRPr="00744C6F">
              <w:rPr>
                <w:b/>
                <w:sz w:val="16"/>
                <w:szCs w:val="18"/>
              </w:rPr>
              <w:t>Communication et valorisation</w:t>
            </w:r>
          </w:p>
          <w:p w14:paraId="6B38A257" w14:textId="77777777" w:rsidR="00744C6F" w:rsidRPr="00744C6F" w:rsidRDefault="00744C6F" w:rsidP="001C3068">
            <w:pPr>
              <w:widowControl w:val="0"/>
              <w:numPr>
                <w:ilvl w:val="0"/>
                <w:numId w:val="10"/>
              </w:numPr>
              <w:tabs>
                <w:tab w:val="left" w:pos="323"/>
              </w:tabs>
              <w:ind w:left="284" w:right="172" w:hanging="194"/>
              <w:contextualSpacing/>
              <w:jc w:val="both"/>
              <w:rPr>
                <w:rFonts w:asciiTheme="majorHAnsi" w:hAnsiTheme="majorHAnsi"/>
                <w:sz w:val="16"/>
                <w:szCs w:val="18"/>
              </w:rPr>
            </w:pPr>
            <w:r w:rsidRPr="00744C6F">
              <w:rPr>
                <w:rFonts w:asciiTheme="majorHAnsi" w:hAnsiTheme="majorHAnsi"/>
                <w:sz w:val="16"/>
                <w:szCs w:val="18"/>
              </w:rPr>
              <w:t>Comment les personnels sont-ils informés des opportunités de formation ou de valorisation des acquis de l’expérience?</w:t>
            </w:r>
          </w:p>
          <w:p w14:paraId="76B8CFA6" w14:textId="77777777" w:rsidR="00744C6F" w:rsidRPr="00744C6F" w:rsidRDefault="00744C6F" w:rsidP="001C3068">
            <w:pPr>
              <w:widowControl w:val="0"/>
              <w:numPr>
                <w:ilvl w:val="0"/>
                <w:numId w:val="10"/>
              </w:numPr>
              <w:tabs>
                <w:tab w:val="left" w:pos="323"/>
              </w:tabs>
              <w:ind w:left="284" w:right="172" w:hanging="194"/>
              <w:contextualSpacing/>
              <w:jc w:val="both"/>
              <w:rPr>
                <w:rFonts w:asciiTheme="majorHAnsi" w:hAnsiTheme="majorHAnsi"/>
                <w:sz w:val="16"/>
                <w:szCs w:val="18"/>
              </w:rPr>
            </w:pPr>
            <w:r w:rsidRPr="00744C6F">
              <w:rPr>
                <w:rFonts w:asciiTheme="majorHAnsi" w:hAnsiTheme="majorHAnsi"/>
                <w:sz w:val="16"/>
                <w:szCs w:val="18"/>
              </w:rPr>
              <w:t xml:space="preserve">Comment les rendez-vous de carrière / entretiens d’évaluation prennent-ils en compte les besoins de formation et les résultats des formations ? </w:t>
            </w:r>
          </w:p>
          <w:p w14:paraId="2B0310A9" w14:textId="77777777" w:rsidR="00744C6F" w:rsidRPr="00D01D26" w:rsidRDefault="00744C6F" w:rsidP="001C3068">
            <w:pPr>
              <w:widowControl w:val="0"/>
              <w:numPr>
                <w:ilvl w:val="0"/>
                <w:numId w:val="10"/>
              </w:numPr>
              <w:tabs>
                <w:tab w:val="left" w:pos="323"/>
              </w:tabs>
              <w:ind w:left="284" w:right="172" w:hanging="194"/>
              <w:contextualSpacing/>
              <w:jc w:val="both"/>
              <w:rPr>
                <w:sz w:val="12"/>
              </w:rPr>
            </w:pPr>
            <w:r w:rsidRPr="00744C6F">
              <w:rPr>
                <w:rFonts w:asciiTheme="majorHAnsi" w:hAnsiTheme="majorHAnsi"/>
                <w:sz w:val="16"/>
                <w:szCs w:val="18"/>
              </w:rPr>
              <w:t>Quelle est la politique des ressources humaines de l’établissement à l’égard des personnels engagés dans une démarche de formation et de diplomation (fonction, rôle dans l’établissement, salaire, modalités de recrutement par ex. CDI) ?</w:t>
            </w:r>
          </w:p>
        </w:tc>
        <w:tc>
          <w:tcPr>
            <w:tcW w:w="306" w:type="dxa"/>
            <w:tcBorders>
              <w:top w:val="nil"/>
              <w:left w:val="single" w:sz="24" w:space="0" w:color="2AAC66"/>
              <w:bottom w:val="nil"/>
              <w:right w:val="single" w:sz="24" w:space="0" w:color="EE7444"/>
            </w:tcBorders>
          </w:tcPr>
          <w:p w14:paraId="2FA2F8E4" w14:textId="435BEF83" w:rsidR="00744C6F" w:rsidRPr="00134B17" w:rsidRDefault="00744C6F" w:rsidP="001C3068">
            <w:pPr>
              <w:rPr>
                <w:sz w:val="17"/>
                <w:szCs w:val="17"/>
              </w:rPr>
            </w:pPr>
          </w:p>
        </w:tc>
        <w:tc>
          <w:tcPr>
            <w:tcW w:w="2693" w:type="dxa"/>
            <w:tcBorders>
              <w:top w:val="single" w:sz="24" w:space="0" w:color="EE7444"/>
              <w:left w:val="single" w:sz="24" w:space="0" w:color="EE7444"/>
              <w:bottom w:val="single" w:sz="24" w:space="0" w:color="EE7444"/>
              <w:right w:val="single" w:sz="24" w:space="0" w:color="EE7444"/>
            </w:tcBorders>
          </w:tcPr>
          <w:p w14:paraId="1A32FFF9" w14:textId="402AC1DC" w:rsidR="00744C6F" w:rsidRPr="00744C6F" w:rsidRDefault="00744C6F" w:rsidP="001C3068">
            <w:pPr>
              <w:widowControl w:val="0"/>
              <w:tabs>
                <w:tab w:val="left" w:pos="323"/>
              </w:tabs>
              <w:ind w:right="172"/>
              <w:rPr>
                <w:rFonts w:asciiTheme="majorHAnsi" w:hAnsiTheme="majorHAnsi"/>
                <w:b/>
                <w:sz w:val="17"/>
                <w:szCs w:val="17"/>
              </w:rPr>
            </w:pPr>
            <w:r w:rsidRPr="00134B17">
              <w:rPr>
                <w:b/>
                <w:color w:val="EE7444"/>
                <w:sz w:val="44"/>
                <w:szCs w:val="44"/>
              </w:rPr>
              <w:t xml:space="preserve">Check </w:t>
            </w:r>
            <w:r w:rsidRPr="0079647D">
              <w:rPr>
                <w:color w:val="EE7444"/>
                <w:sz w:val="24"/>
                <w:szCs w:val="24"/>
              </w:rPr>
              <w:t>Evaluer</w:t>
            </w:r>
            <w:r w:rsidRPr="00744C6F">
              <w:rPr>
                <w:rFonts w:asciiTheme="majorHAnsi" w:hAnsiTheme="majorHAnsi"/>
                <w:b/>
                <w:sz w:val="17"/>
                <w:szCs w:val="17"/>
              </w:rPr>
              <w:t xml:space="preserve"> Exemples d’indicateurs de suivi</w:t>
            </w:r>
          </w:p>
          <w:p w14:paraId="3192AF53" w14:textId="77777777" w:rsidR="00744C6F" w:rsidRPr="00D01D26" w:rsidRDefault="00744C6F" w:rsidP="001C3068">
            <w:pPr>
              <w:widowControl w:val="0"/>
              <w:tabs>
                <w:tab w:val="left" w:pos="323"/>
              </w:tabs>
              <w:ind w:right="172"/>
              <w:rPr>
                <w:rFonts w:asciiTheme="majorHAnsi" w:hAnsiTheme="majorHAnsi"/>
                <w:sz w:val="17"/>
                <w:szCs w:val="17"/>
              </w:rPr>
            </w:pPr>
          </w:p>
          <w:p w14:paraId="635CE202" w14:textId="77777777" w:rsidR="00744C6F" w:rsidRPr="00D01D26" w:rsidRDefault="00744C6F" w:rsidP="001C3068">
            <w:pPr>
              <w:widowControl w:val="0"/>
              <w:numPr>
                <w:ilvl w:val="0"/>
                <w:numId w:val="10"/>
              </w:numPr>
              <w:tabs>
                <w:tab w:val="left" w:pos="323"/>
              </w:tabs>
              <w:ind w:left="284" w:right="172" w:hanging="194"/>
              <w:rPr>
                <w:rFonts w:asciiTheme="majorHAnsi" w:hAnsiTheme="majorHAnsi"/>
                <w:sz w:val="17"/>
                <w:szCs w:val="17"/>
              </w:rPr>
            </w:pPr>
            <w:r w:rsidRPr="00D01D26">
              <w:rPr>
                <w:rFonts w:asciiTheme="majorHAnsi" w:hAnsiTheme="majorHAnsi"/>
                <w:sz w:val="17"/>
                <w:szCs w:val="17"/>
              </w:rPr>
              <w:t>Part du budget consacrée</w:t>
            </w:r>
            <w:r>
              <w:rPr>
                <w:rFonts w:asciiTheme="majorHAnsi" w:hAnsiTheme="majorHAnsi"/>
                <w:sz w:val="17"/>
                <w:szCs w:val="17"/>
              </w:rPr>
              <w:t xml:space="preserve"> à la formation </w:t>
            </w:r>
          </w:p>
          <w:p w14:paraId="7D576547" w14:textId="77777777" w:rsidR="00744C6F" w:rsidRDefault="00744C6F" w:rsidP="001C3068">
            <w:pPr>
              <w:widowControl w:val="0"/>
              <w:numPr>
                <w:ilvl w:val="0"/>
                <w:numId w:val="10"/>
              </w:numPr>
              <w:tabs>
                <w:tab w:val="left" w:pos="323"/>
              </w:tabs>
              <w:ind w:left="284" w:right="172" w:hanging="194"/>
              <w:rPr>
                <w:rFonts w:asciiTheme="majorHAnsi" w:hAnsiTheme="majorHAnsi"/>
                <w:sz w:val="17"/>
                <w:szCs w:val="17"/>
              </w:rPr>
            </w:pPr>
            <w:r w:rsidRPr="00D01D26">
              <w:rPr>
                <w:rFonts w:asciiTheme="majorHAnsi" w:hAnsiTheme="majorHAnsi"/>
                <w:sz w:val="17"/>
                <w:szCs w:val="17"/>
              </w:rPr>
              <w:t xml:space="preserve">Nombre et typologie des actions de formation continue </w:t>
            </w:r>
            <w:r>
              <w:rPr>
                <w:rFonts w:asciiTheme="majorHAnsi" w:hAnsiTheme="majorHAnsi"/>
                <w:sz w:val="17"/>
                <w:szCs w:val="17"/>
              </w:rPr>
              <w:t>suivis</w:t>
            </w:r>
            <w:r w:rsidRPr="00D01D26">
              <w:rPr>
                <w:rFonts w:asciiTheme="majorHAnsi" w:hAnsiTheme="majorHAnsi"/>
                <w:sz w:val="17"/>
                <w:szCs w:val="17"/>
              </w:rPr>
              <w:t xml:space="preserve"> dans le plan de zone de formation continue</w:t>
            </w:r>
          </w:p>
          <w:p w14:paraId="4D9410DE" w14:textId="77777777" w:rsidR="005663D5" w:rsidRDefault="005663D5" w:rsidP="001C3068">
            <w:pPr>
              <w:widowControl w:val="0"/>
              <w:numPr>
                <w:ilvl w:val="0"/>
                <w:numId w:val="10"/>
              </w:numPr>
              <w:tabs>
                <w:tab w:val="left" w:pos="323"/>
              </w:tabs>
              <w:ind w:left="284" w:right="172" w:hanging="194"/>
              <w:rPr>
                <w:rFonts w:asciiTheme="majorHAnsi" w:hAnsiTheme="majorHAnsi"/>
                <w:sz w:val="17"/>
                <w:szCs w:val="17"/>
              </w:rPr>
            </w:pPr>
            <w:r>
              <w:rPr>
                <w:rFonts w:asciiTheme="majorHAnsi" w:hAnsiTheme="majorHAnsi"/>
                <w:sz w:val="17"/>
                <w:szCs w:val="17"/>
              </w:rPr>
              <w:t>Fonctionnement de la cellule de formation</w:t>
            </w:r>
          </w:p>
          <w:p w14:paraId="1CD54CFB" w14:textId="1A80784E" w:rsidR="00744C6F" w:rsidRPr="00D01D26" w:rsidRDefault="00744C6F" w:rsidP="001C3068">
            <w:pPr>
              <w:widowControl w:val="0"/>
              <w:numPr>
                <w:ilvl w:val="0"/>
                <w:numId w:val="10"/>
              </w:numPr>
              <w:tabs>
                <w:tab w:val="left" w:pos="323"/>
              </w:tabs>
              <w:ind w:left="284" w:right="172" w:hanging="194"/>
              <w:rPr>
                <w:rFonts w:asciiTheme="majorHAnsi" w:hAnsiTheme="majorHAnsi"/>
                <w:sz w:val="17"/>
                <w:szCs w:val="17"/>
              </w:rPr>
            </w:pPr>
            <w:r w:rsidRPr="00D01D26">
              <w:rPr>
                <w:rFonts w:asciiTheme="majorHAnsi" w:hAnsiTheme="majorHAnsi"/>
                <w:sz w:val="17"/>
                <w:szCs w:val="17"/>
              </w:rPr>
              <w:t xml:space="preserve">Nombre personnels engagés dans des actions de formation diplômante / </w:t>
            </w:r>
            <w:proofErr w:type="spellStart"/>
            <w:r w:rsidRPr="00D01D26">
              <w:rPr>
                <w:rFonts w:asciiTheme="majorHAnsi" w:hAnsiTheme="majorHAnsi"/>
                <w:sz w:val="17"/>
                <w:szCs w:val="17"/>
              </w:rPr>
              <w:t>certifiante</w:t>
            </w:r>
            <w:proofErr w:type="spellEnd"/>
            <w:r w:rsidRPr="00D01D26">
              <w:rPr>
                <w:rFonts w:asciiTheme="majorHAnsi" w:hAnsiTheme="majorHAnsi"/>
                <w:sz w:val="17"/>
                <w:szCs w:val="17"/>
              </w:rPr>
              <w:t xml:space="preserve"> / reconnaissance de validation des acquis</w:t>
            </w:r>
          </w:p>
          <w:p w14:paraId="3DF6FA26" w14:textId="77777777" w:rsidR="00744C6F" w:rsidRPr="00D01D26" w:rsidRDefault="00744C6F" w:rsidP="001C3068">
            <w:pPr>
              <w:widowControl w:val="0"/>
              <w:numPr>
                <w:ilvl w:val="0"/>
                <w:numId w:val="10"/>
              </w:numPr>
              <w:tabs>
                <w:tab w:val="left" w:pos="323"/>
                <w:tab w:val="left" w:pos="806"/>
              </w:tabs>
              <w:ind w:left="284" w:right="172" w:hanging="194"/>
              <w:jc w:val="both"/>
              <w:rPr>
                <w:rFonts w:asciiTheme="majorHAnsi" w:hAnsiTheme="majorHAnsi"/>
                <w:sz w:val="17"/>
                <w:szCs w:val="17"/>
              </w:rPr>
            </w:pPr>
            <w:r>
              <w:rPr>
                <w:rFonts w:asciiTheme="majorHAnsi" w:hAnsiTheme="majorHAnsi"/>
                <w:sz w:val="17"/>
                <w:szCs w:val="17"/>
              </w:rPr>
              <w:t>Nombre de personnels qualifiés/ certifiés de l’établissement participant aux actions de formation en tant que formateurs</w:t>
            </w:r>
          </w:p>
          <w:p w14:paraId="46E749CA" w14:textId="77777777" w:rsidR="00744C6F" w:rsidRPr="00D01D26" w:rsidRDefault="00744C6F" w:rsidP="001C3068">
            <w:pPr>
              <w:widowControl w:val="0"/>
              <w:numPr>
                <w:ilvl w:val="0"/>
                <w:numId w:val="10"/>
              </w:numPr>
              <w:tabs>
                <w:tab w:val="left" w:pos="323"/>
                <w:tab w:val="left" w:pos="806"/>
              </w:tabs>
              <w:ind w:left="284" w:right="172" w:hanging="194"/>
              <w:jc w:val="both"/>
              <w:rPr>
                <w:rFonts w:asciiTheme="majorHAnsi" w:hAnsiTheme="majorHAnsi"/>
                <w:sz w:val="17"/>
                <w:szCs w:val="17"/>
              </w:rPr>
            </w:pPr>
            <w:r w:rsidRPr="00D01D26">
              <w:rPr>
                <w:rFonts w:asciiTheme="majorHAnsi" w:hAnsiTheme="majorHAnsi"/>
                <w:sz w:val="17"/>
                <w:szCs w:val="17"/>
              </w:rPr>
              <w:t>Ratio formations suivies / personnels / catégorie de personnels/ 1</w:t>
            </w:r>
            <w:r w:rsidRPr="00D01D26">
              <w:rPr>
                <w:rFonts w:asciiTheme="majorHAnsi" w:hAnsiTheme="majorHAnsi"/>
                <w:sz w:val="17"/>
                <w:szCs w:val="17"/>
                <w:vertAlign w:val="superscript"/>
              </w:rPr>
              <w:t>er</w:t>
            </w:r>
            <w:r w:rsidRPr="00D01D26">
              <w:rPr>
                <w:rFonts w:asciiTheme="majorHAnsi" w:hAnsiTheme="majorHAnsi"/>
                <w:sz w:val="17"/>
                <w:szCs w:val="17"/>
              </w:rPr>
              <w:t xml:space="preserve"> et 2</w:t>
            </w:r>
            <w:r w:rsidRPr="00D01D26">
              <w:rPr>
                <w:rFonts w:asciiTheme="majorHAnsi" w:hAnsiTheme="majorHAnsi"/>
                <w:sz w:val="17"/>
                <w:szCs w:val="17"/>
                <w:vertAlign w:val="superscript"/>
              </w:rPr>
              <w:t xml:space="preserve">nd </w:t>
            </w:r>
            <w:r w:rsidRPr="00D01D26">
              <w:rPr>
                <w:rFonts w:asciiTheme="majorHAnsi" w:hAnsiTheme="majorHAnsi"/>
                <w:sz w:val="17"/>
                <w:szCs w:val="17"/>
              </w:rPr>
              <w:t>degrés</w:t>
            </w:r>
          </w:p>
          <w:p w14:paraId="320696E3" w14:textId="77777777" w:rsidR="00744C6F" w:rsidRPr="00991415" w:rsidRDefault="00744C6F" w:rsidP="001C3068">
            <w:pPr>
              <w:widowControl w:val="0"/>
              <w:numPr>
                <w:ilvl w:val="0"/>
                <w:numId w:val="10"/>
              </w:numPr>
              <w:tabs>
                <w:tab w:val="left" w:pos="323"/>
                <w:tab w:val="left" w:pos="806"/>
              </w:tabs>
              <w:ind w:left="284" w:right="172" w:hanging="194"/>
              <w:jc w:val="both"/>
              <w:rPr>
                <w:rFonts w:asciiTheme="majorHAnsi" w:hAnsiTheme="majorHAnsi"/>
                <w:sz w:val="17"/>
                <w:szCs w:val="17"/>
              </w:rPr>
            </w:pPr>
            <w:r w:rsidRPr="00D01D26">
              <w:rPr>
                <w:rFonts w:asciiTheme="majorHAnsi" w:hAnsiTheme="majorHAnsi"/>
                <w:sz w:val="17"/>
                <w:szCs w:val="17"/>
              </w:rPr>
              <w:t>Taux d’accès des personnels à la formation continue (sur un an, sur les trois dernières années)</w:t>
            </w:r>
          </w:p>
          <w:p w14:paraId="41D74766" w14:textId="77777777" w:rsidR="00744C6F" w:rsidRPr="00991415" w:rsidRDefault="00744C6F" w:rsidP="001C3068">
            <w:pPr>
              <w:widowControl w:val="0"/>
              <w:numPr>
                <w:ilvl w:val="0"/>
                <w:numId w:val="10"/>
              </w:numPr>
              <w:tabs>
                <w:tab w:val="left" w:pos="323"/>
              </w:tabs>
              <w:ind w:left="284" w:right="172" w:hanging="194"/>
              <w:rPr>
                <w:rFonts w:asciiTheme="majorHAnsi" w:hAnsiTheme="majorHAnsi"/>
                <w:sz w:val="17"/>
                <w:szCs w:val="17"/>
              </w:rPr>
            </w:pPr>
            <w:r>
              <w:rPr>
                <w:rFonts w:asciiTheme="majorHAnsi" w:hAnsiTheme="majorHAnsi"/>
                <w:sz w:val="17"/>
                <w:szCs w:val="17"/>
              </w:rPr>
              <w:t>Taux de réalisation</w:t>
            </w:r>
          </w:p>
          <w:p w14:paraId="7ADAF216" w14:textId="77777777" w:rsidR="00744C6F" w:rsidRDefault="00744C6F" w:rsidP="001C3068">
            <w:pPr>
              <w:widowControl w:val="0"/>
              <w:numPr>
                <w:ilvl w:val="0"/>
                <w:numId w:val="10"/>
              </w:numPr>
              <w:tabs>
                <w:tab w:val="left" w:pos="323"/>
                <w:tab w:val="left" w:pos="806"/>
              </w:tabs>
              <w:ind w:left="284" w:right="172" w:hanging="194"/>
              <w:jc w:val="both"/>
              <w:rPr>
                <w:rFonts w:asciiTheme="majorHAnsi" w:hAnsiTheme="majorHAnsi"/>
                <w:sz w:val="17"/>
                <w:szCs w:val="17"/>
              </w:rPr>
            </w:pPr>
            <w:r w:rsidRPr="00D01D26">
              <w:rPr>
                <w:rFonts w:asciiTheme="majorHAnsi" w:hAnsiTheme="majorHAnsi"/>
                <w:sz w:val="17"/>
                <w:szCs w:val="17"/>
              </w:rPr>
              <w:t xml:space="preserve">Bilan des évaluations qualitatives des participants aux actions </w:t>
            </w:r>
            <w:r w:rsidRPr="00991415">
              <w:rPr>
                <w:rFonts w:asciiTheme="majorHAnsi" w:hAnsiTheme="majorHAnsi"/>
                <w:sz w:val="17"/>
                <w:szCs w:val="17"/>
              </w:rPr>
              <w:t>de formation</w:t>
            </w:r>
          </w:p>
          <w:p w14:paraId="3C86349F" w14:textId="77777777" w:rsidR="00744C6F" w:rsidRPr="006A0C80" w:rsidRDefault="00744C6F" w:rsidP="001C3068">
            <w:pPr>
              <w:widowControl w:val="0"/>
              <w:numPr>
                <w:ilvl w:val="0"/>
                <w:numId w:val="10"/>
              </w:numPr>
              <w:tabs>
                <w:tab w:val="left" w:pos="323"/>
              </w:tabs>
              <w:ind w:left="284" w:right="172" w:hanging="194"/>
              <w:rPr>
                <w:rFonts w:asciiTheme="majorHAnsi" w:hAnsiTheme="majorHAnsi"/>
                <w:sz w:val="17"/>
                <w:szCs w:val="17"/>
              </w:rPr>
            </w:pPr>
            <w:r>
              <w:rPr>
                <w:rFonts w:asciiTheme="majorHAnsi" w:hAnsiTheme="majorHAnsi"/>
                <w:sz w:val="17"/>
                <w:szCs w:val="17"/>
              </w:rPr>
              <w:t>Pertinence des actions retenues par la cellule de formation</w:t>
            </w:r>
          </w:p>
        </w:tc>
      </w:tr>
    </w:tbl>
    <w:p w14:paraId="2D266722" w14:textId="4457E7E5" w:rsidR="00C7213D" w:rsidRPr="00134B17" w:rsidRDefault="00C7213D" w:rsidP="00C7213D">
      <w:pPr>
        <w:spacing w:after="200" w:line="276" w:lineRule="auto"/>
        <w:rPr>
          <w:rFonts w:ascii="Calibri" w:eastAsia="Calibri" w:hAnsi="Calibri"/>
          <w:sz w:val="22"/>
          <w:szCs w:val="22"/>
          <w:lang w:eastAsia="en-US"/>
        </w:rPr>
      </w:pPr>
    </w:p>
    <w:sectPr w:rsidR="00C7213D" w:rsidRPr="00134B17" w:rsidSect="00214390">
      <w:pgSz w:w="16838" w:h="11906" w:orient="landscape" w:code="9"/>
      <w:pgMar w:top="312" w:right="720" w:bottom="397" w:left="720" w:header="278"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726EF4" w15:done="0"/>
  <w15:commentEx w15:paraId="3017480E" w15:done="0"/>
  <w15:commentEx w15:paraId="08340A85" w15:done="0"/>
  <w15:commentEx w15:paraId="4F844417" w15:done="0"/>
  <w15:commentEx w15:paraId="203513E7" w15:done="0"/>
  <w15:commentEx w15:paraId="2F494DD3" w15:done="0"/>
  <w15:commentEx w15:paraId="2A3B6761" w15:done="0"/>
  <w15:commentEx w15:paraId="43F9B1E8" w15:done="0"/>
  <w15:commentEx w15:paraId="5D2AD790" w15:done="0"/>
  <w15:commentEx w15:paraId="4F9C97B0" w15:done="0"/>
  <w15:commentEx w15:paraId="457415C0" w15:done="0"/>
  <w15:commentEx w15:paraId="11734649" w15:done="0"/>
  <w15:commentEx w15:paraId="0E5C28B4" w15:done="0"/>
  <w15:commentEx w15:paraId="00922E21" w15:done="0"/>
  <w15:commentEx w15:paraId="030045F7" w15:done="0"/>
  <w15:commentEx w15:paraId="3C88BB05" w15:done="0"/>
  <w15:commentEx w15:paraId="647B8D2F" w15:done="0"/>
  <w15:commentEx w15:paraId="72E437E9" w15:done="0"/>
  <w15:commentEx w15:paraId="3841DE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7EBA7" w14:textId="77777777" w:rsidR="00517C7A" w:rsidRDefault="00517C7A" w:rsidP="009B6E81">
      <w:r>
        <w:separator/>
      </w:r>
    </w:p>
    <w:p w14:paraId="25F86C04" w14:textId="77777777" w:rsidR="00517C7A" w:rsidRDefault="00517C7A"/>
  </w:endnote>
  <w:endnote w:type="continuationSeparator" w:id="0">
    <w:p w14:paraId="3803F6DF" w14:textId="77777777" w:rsidR="00517C7A" w:rsidRDefault="00517C7A" w:rsidP="009B6E81">
      <w:r>
        <w:continuationSeparator/>
      </w:r>
    </w:p>
    <w:p w14:paraId="0B228B7A" w14:textId="77777777" w:rsidR="00517C7A" w:rsidRDefault="00517C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B63B4" w14:textId="77777777" w:rsidR="00517C7A" w:rsidRDefault="00517C7A" w:rsidP="009B6E81">
      <w:r>
        <w:separator/>
      </w:r>
    </w:p>
    <w:p w14:paraId="245CA55E" w14:textId="77777777" w:rsidR="00517C7A" w:rsidRDefault="00517C7A"/>
  </w:footnote>
  <w:footnote w:type="continuationSeparator" w:id="0">
    <w:p w14:paraId="7DAE61FD" w14:textId="77777777" w:rsidR="00517C7A" w:rsidRDefault="00517C7A" w:rsidP="009B6E81">
      <w:r>
        <w:continuationSeparator/>
      </w:r>
    </w:p>
    <w:p w14:paraId="25F222FE" w14:textId="77777777" w:rsidR="00517C7A" w:rsidRDefault="00517C7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34FA"/>
    <w:multiLevelType w:val="hybridMultilevel"/>
    <w:tmpl w:val="C94CF33A"/>
    <w:lvl w:ilvl="0" w:tplc="6E2E678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EB3BE3"/>
    <w:multiLevelType w:val="hybridMultilevel"/>
    <w:tmpl w:val="A0D6A59C"/>
    <w:lvl w:ilvl="0" w:tplc="ADEEEE6E">
      <w:start w:val="1"/>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2C6773B"/>
    <w:multiLevelType w:val="hybridMultilevel"/>
    <w:tmpl w:val="ED5C6520"/>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3850A67"/>
    <w:multiLevelType w:val="hybridMultilevel"/>
    <w:tmpl w:val="A2D2DA3E"/>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4">
    <w:nsid w:val="1C134DD9"/>
    <w:multiLevelType w:val="hybridMultilevel"/>
    <w:tmpl w:val="83FA81AC"/>
    <w:lvl w:ilvl="0" w:tplc="CBA2829E">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ED91F1C"/>
    <w:multiLevelType w:val="hybridMultilevel"/>
    <w:tmpl w:val="0BCAA660"/>
    <w:lvl w:ilvl="0" w:tplc="91C019FA">
      <w:start w:val="1"/>
      <w:numFmt w:val="bullet"/>
      <w:lvlText w:val="•"/>
      <w:lvlJc w:val="left"/>
      <w:pPr>
        <w:tabs>
          <w:tab w:val="num" w:pos="720"/>
        </w:tabs>
        <w:ind w:left="720" w:hanging="360"/>
      </w:pPr>
      <w:rPr>
        <w:rFonts w:ascii="Times New Roman" w:hAnsi="Times New Roman" w:hint="default"/>
      </w:rPr>
    </w:lvl>
    <w:lvl w:ilvl="1" w:tplc="D84097B0">
      <w:start w:val="1"/>
      <w:numFmt w:val="bullet"/>
      <w:lvlText w:val="•"/>
      <w:lvlJc w:val="left"/>
      <w:pPr>
        <w:tabs>
          <w:tab w:val="num" w:pos="1440"/>
        </w:tabs>
        <w:ind w:left="1440" w:hanging="360"/>
      </w:pPr>
      <w:rPr>
        <w:rFonts w:ascii="Times New Roman" w:hAnsi="Times New Roman" w:hint="default"/>
      </w:rPr>
    </w:lvl>
    <w:lvl w:ilvl="2" w:tplc="D9D425C4" w:tentative="1">
      <w:start w:val="1"/>
      <w:numFmt w:val="bullet"/>
      <w:lvlText w:val="•"/>
      <w:lvlJc w:val="left"/>
      <w:pPr>
        <w:tabs>
          <w:tab w:val="num" w:pos="2160"/>
        </w:tabs>
        <w:ind w:left="2160" w:hanging="360"/>
      </w:pPr>
      <w:rPr>
        <w:rFonts w:ascii="Times New Roman" w:hAnsi="Times New Roman" w:hint="default"/>
      </w:rPr>
    </w:lvl>
    <w:lvl w:ilvl="3" w:tplc="4C303002" w:tentative="1">
      <w:start w:val="1"/>
      <w:numFmt w:val="bullet"/>
      <w:lvlText w:val="•"/>
      <w:lvlJc w:val="left"/>
      <w:pPr>
        <w:tabs>
          <w:tab w:val="num" w:pos="2880"/>
        </w:tabs>
        <w:ind w:left="2880" w:hanging="360"/>
      </w:pPr>
      <w:rPr>
        <w:rFonts w:ascii="Times New Roman" w:hAnsi="Times New Roman" w:hint="default"/>
      </w:rPr>
    </w:lvl>
    <w:lvl w:ilvl="4" w:tplc="46046400" w:tentative="1">
      <w:start w:val="1"/>
      <w:numFmt w:val="bullet"/>
      <w:lvlText w:val="•"/>
      <w:lvlJc w:val="left"/>
      <w:pPr>
        <w:tabs>
          <w:tab w:val="num" w:pos="3600"/>
        </w:tabs>
        <w:ind w:left="3600" w:hanging="360"/>
      </w:pPr>
      <w:rPr>
        <w:rFonts w:ascii="Times New Roman" w:hAnsi="Times New Roman" w:hint="default"/>
      </w:rPr>
    </w:lvl>
    <w:lvl w:ilvl="5" w:tplc="B81ECCA6" w:tentative="1">
      <w:start w:val="1"/>
      <w:numFmt w:val="bullet"/>
      <w:lvlText w:val="•"/>
      <w:lvlJc w:val="left"/>
      <w:pPr>
        <w:tabs>
          <w:tab w:val="num" w:pos="4320"/>
        </w:tabs>
        <w:ind w:left="4320" w:hanging="360"/>
      </w:pPr>
      <w:rPr>
        <w:rFonts w:ascii="Times New Roman" w:hAnsi="Times New Roman" w:hint="default"/>
      </w:rPr>
    </w:lvl>
    <w:lvl w:ilvl="6" w:tplc="8462102A" w:tentative="1">
      <w:start w:val="1"/>
      <w:numFmt w:val="bullet"/>
      <w:lvlText w:val="•"/>
      <w:lvlJc w:val="left"/>
      <w:pPr>
        <w:tabs>
          <w:tab w:val="num" w:pos="5040"/>
        </w:tabs>
        <w:ind w:left="5040" w:hanging="360"/>
      </w:pPr>
      <w:rPr>
        <w:rFonts w:ascii="Times New Roman" w:hAnsi="Times New Roman" w:hint="default"/>
      </w:rPr>
    </w:lvl>
    <w:lvl w:ilvl="7" w:tplc="65FCD97A" w:tentative="1">
      <w:start w:val="1"/>
      <w:numFmt w:val="bullet"/>
      <w:lvlText w:val="•"/>
      <w:lvlJc w:val="left"/>
      <w:pPr>
        <w:tabs>
          <w:tab w:val="num" w:pos="5760"/>
        </w:tabs>
        <w:ind w:left="5760" w:hanging="360"/>
      </w:pPr>
      <w:rPr>
        <w:rFonts w:ascii="Times New Roman" w:hAnsi="Times New Roman" w:hint="default"/>
      </w:rPr>
    </w:lvl>
    <w:lvl w:ilvl="8" w:tplc="C1406906" w:tentative="1">
      <w:start w:val="1"/>
      <w:numFmt w:val="bullet"/>
      <w:lvlText w:val="•"/>
      <w:lvlJc w:val="left"/>
      <w:pPr>
        <w:tabs>
          <w:tab w:val="num" w:pos="6480"/>
        </w:tabs>
        <w:ind w:left="6480" w:hanging="360"/>
      </w:pPr>
      <w:rPr>
        <w:rFonts w:ascii="Times New Roman" w:hAnsi="Times New Roman" w:hint="default"/>
      </w:rPr>
    </w:lvl>
  </w:abstractNum>
  <w:abstractNum w:abstractNumId="6">
    <w:nsid w:val="228C1CDA"/>
    <w:multiLevelType w:val="hybridMultilevel"/>
    <w:tmpl w:val="0F381CD4"/>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nsid w:val="25F85824"/>
    <w:multiLevelType w:val="hybridMultilevel"/>
    <w:tmpl w:val="64BCDF14"/>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8">
    <w:nsid w:val="2A9F43EF"/>
    <w:multiLevelType w:val="hybridMultilevel"/>
    <w:tmpl w:val="F496BDE0"/>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FD00549"/>
    <w:multiLevelType w:val="hybridMultilevel"/>
    <w:tmpl w:val="2026C55E"/>
    <w:lvl w:ilvl="0" w:tplc="040C0001">
      <w:start w:val="1"/>
      <w:numFmt w:val="bullet"/>
      <w:lvlText w:val=""/>
      <w:lvlJc w:val="left"/>
      <w:pPr>
        <w:ind w:left="450" w:hanging="360"/>
      </w:pPr>
      <w:rPr>
        <w:rFonts w:ascii="Symbol" w:hAnsi="Symbol"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0">
    <w:nsid w:val="379926E7"/>
    <w:multiLevelType w:val="hybridMultilevel"/>
    <w:tmpl w:val="D3DC5DA6"/>
    <w:lvl w:ilvl="0" w:tplc="4276169A">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9884A03"/>
    <w:multiLevelType w:val="hybridMultilevel"/>
    <w:tmpl w:val="07EAE14C"/>
    <w:lvl w:ilvl="0" w:tplc="AA0879EA">
      <w:start w:val="1"/>
      <w:numFmt w:val="decimal"/>
      <w:pStyle w:val="Titre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3B5C7DD0"/>
    <w:multiLevelType w:val="hybridMultilevel"/>
    <w:tmpl w:val="CEC607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5EE7DA4"/>
    <w:multiLevelType w:val="hybridMultilevel"/>
    <w:tmpl w:val="A38EFDAE"/>
    <w:lvl w:ilvl="0" w:tplc="278CA8C4">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4">
    <w:nsid w:val="4CCA2A38"/>
    <w:multiLevelType w:val="hybridMultilevel"/>
    <w:tmpl w:val="B40CE23E"/>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5">
    <w:nsid w:val="4D4168E8"/>
    <w:multiLevelType w:val="hybridMultilevel"/>
    <w:tmpl w:val="C794F954"/>
    <w:lvl w:ilvl="0" w:tplc="4A446EB6">
      <w:numFmt w:val="bullet"/>
      <w:lvlText w:val="-"/>
      <w:lvlJc w:val="left"/>
      <w:pPr>
        <w:ind w:left="720" w:hanging="360"/>
      </w:pPr>
      <w:rPr>
        <w:rFonts w:ascii="Calibri" w:eastAsia="Calibri" w:hAnsi="Calibri" w:cs="Times New Roman" w:hint="default"/>
        <w:color w:val="231F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15C7CD2"/>
    <w:multiLevelType w:val="hybridMultilevel"/>
    <w:tmpl w:val="D2EC4042"/>
    <w:lvl w:ilvl="0" w:tplc="040C0001">
      <w:start w:val="1"/>
      <w:numFmt w:val="bullet"/>
      <w:lvlText w:val=""/>
      <w:lvlJc w:val="left"/>
      <w:pPr>
        <w:ind w:left="720" w:hanging="360"/>
      </w:pPr>
      <w:rPr>
        <w:rFonts w:ascii="Symbol" w:hAnsi="Symbol" w:hint="default"/>
        <w:color w:val="231F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BF91775"/>
    <w:multiLevelType w:val="hybridMultilevel"/>
    <w:tmpl w:val="111A7D3C"/>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88D3AB1"/>
    <w:multiLevelType w:val="hybridMultilevel"/>
    <w:tmpl w:val="97D09636"/>
    <w:lvl w:ilvl="0" w:tplc="7A7C89C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E6C6607"/>
    <w:multiLevelType w:val="hybridMultilevel"/>
    <w:tmpl w:val="E1CCEEEE"/>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nsid w:val="715A53AD"/>
    <w:multiLevelType w:val="hybridMultilevel"/>
    <w:tmpl w:val="CF826A00"/>
    <w:lvl w:ilvl="0" w:tplc="278CA8C4">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21">
    <w:nsid w:val="7BC86B5C"/>
    <w:multiLevelType w:val="hybridMultilevel"/>
    <w:tmpl w:val="D19A96F8"/>
    <w:lvl w:ilvl="0" w:tplc="040C0001">
      <w:start w:val="1"/>
      <w:numFmt w:val="bullet"/>
      <w:lvlText w:val=""/>
      <w:lvlJc w:val="left"/>
      <w:pPr>
        <w:ind w:left="1043" w:hanging="360"/>
      </w:pPr>
      <w:rPr>
        <w:rFonts w:ascii="Symbol" w:hAnsi="Symbol" w:hint="default"/>
      </w:rPr>
    </w:lvl>
    <w:lvl w:ilvl="1" w:tplc="040C0003" w:tentative="1">
      <w:start w:val="1"/>
      <w:numFmt w:val="bullet"/>
      <w:lvlText w:val="o"/>
      <w:lvlJc w:val="left"/>
      <w:pPr>
        <w:ind w:left="1763" w:hanging="360"/>
      </w:pPr>
      <w:rPr>
        <w:rFonts w:ascii="Courier New" w:hAnsi="Courier New" w:cs="Courier New" w:hint="default"/>
      </w:rPr>
    </w:lvl>
    <w:lvl w:ilvl="2" w:tplc="040C0005" w:tentative="1">
      <w:start w:val="1"/>
      <w:numFmt w:val="bullet"/>
      <w:lvlText w:val=""/>
      <w:lvlJc w:val="left"/>
      <w:pPr>
        <w:ind w:left="2483" w:hanging="360"/>
      </w:pPr>
      <w:rPr>
        <w:rFonts w:ascii="Wingdings" w:hAnsi="Wingdings" w:hint="default"/>
      </w:rPr>
    </w:lvl>
    <w:lvl w:ilvl="3" w:tplc="040C0001" w:tentative="1">
      <w:start w:val="1"/>
      <w:numFmt w:val="bullet"/>
      <w:lvlText w:val=""/>
      <w:lvlJc w:val="left"/>
      <w:pPr>
        <w:ind w:left="3203" w:hanging="360"/>
      </w:pPr>
      <w:rPr>
        <w:rFonts w:ascii="Symbol" w:hAnsi="Symbol" w:hint="default"/>
      </w:rPr>
    </w:lvl>
    <w:lvl w:ilvl="4" w:tplc="040C0003" w:tentative="1">
      <w:start w:val="1"/>
      <w:numFmt w:val="bullet"/>
      <w:lvlText w:val="o"/>
      <w:lvlJc w:val="left"/>
      <w:pPr>
        <w:ind w:left="3923" w:hanging="360"/>
      </w:pPr>
      <w:rPr>
        <w:rFonts w:ascii="Courier New" w:hAnsi="Courier New" w:cs="Courier New" w:hint="default"/>
      </w:rPr>
    </w:lvl>
    <w:lvl w:ilvl="5" w:tplc="040C0005" w:tentative="1">
      <w:start w:val="1"/>
      <w:numFmt w:val="bullet"/>
      <w:lvlText w:val=""/>
      <w:lvlJc w:val="left"/>
      <w:pPr>
        <w:ind w:left="4643" w:hanging="360"/>
      </w:pPr>
      <w:rPr>
        <w:rFonts w:ascii="Wingdings" w:hAnsi="Wingdings" w:hint="default"/>
      </w:rPr>
    </w:lvl>
    <w:lvl w:ilvl="6" w:tplc="040C0001" w:tentative="1">
      <w:start w:val="1"/>
      <w:numFmt w:val="bullet"/>
      <w:lvlText w:val=""/>
      <w:lvlJc w:val="left"/>
      <w:pPr>
        <w:ind w:left="5363" w:hanging="360"/>
      </w:pPr>
      <w:rPr>
        <w:rFonts w:ascii="Symbol" w:hAnsi="Symbol" w:hint="default"/>
      </w:rPr>
    </w:lvl>
    <w:lvl w:ilvl="7" w:tplc="040C0003" w:tentative="1">
      <w:start w:val="1"/>
      <w:numFmt w:val="bullet"/>
      <w:lvlText w:val="o"/>
      <w:lvlJc w:val="left"/>
      <w:pPr>
        <w:ind w:left="6083" w:hanging="360"/>
      </w:pPr>
      <w:rPr>
        <w:rFonts w:ascii="Courier New" w:hAnsi="Courier New" w:cs="Courier New" w:hint="default"/>
      </w:rPr>
    </w:lvl>
    <w:lvl w:ilvl="8" w:tplc="040C0005" w:tentative="1">
      <w:start w:val="1"/>
      <w:numFmt w:val="bullet"/>
      <w:lvlText w:val=""/>
      <w:lvlJc w:val="left"/>
      <w:pPr>
        <w:ind w:left="6803" w:hanging="360"/>
      </w:pPr>
      <w:rPr>
        <w:rFonts w:ascii="Wingdings" w:hAnsi="Wingdings" w:hint="default"/>
      </w:rPr>
    </w:lvl>
  </w:abstractNum>
  <w:num w:numId="1">
    <w:abstractNumId w:val="16"/>
  </w:num>
  <w:num w:numId="2">
    <w:abstractNumId w:val="3"/>
  </w:num>
  <w:num w:numId="3">
    <w:abstractNumId w:val="4"/>
  </w:num>
  <w:num w:numId="4">
    <w:abstractNumId w:val="5"/>
  </w:num>
  <w:num w:numId="5">
    <w:abstractNumId w:val="10"/>
  </w:num>
  <w:num w:numId="6">
    <w:abstractNumId w:val="2"/>
  </w:num>
  <w:num w:numId="7">
    <w:abstractNumId w:val="17"/>
  </w:num>
  <w:num w:numId="8">
    <w:abstractNumId w:val="8"/>
  </w:num>
  <w:num w:numId="9">
    <w:abstractNumId w:val="15"/>
  </w:num>
  <w:num w:numId="10">
    <w:abstractNumId w:val="9"/>
  </w:num>
  <w:num w:numId="11">
    <w:abstractNumId w:val="13"/>
  </w:num>
  <w:num w:numId="12">
    <w:abstractNumId w:val="14"/>
  </w:num>
  <w:num w:numId="13">
    <w:abstractNumId w:val="20"/>
  </w:num>
  <w:num w:numId="14">
    <w:abstractNumId w:val="7"/>
  </w:num>
  <w:num w:numId="15">
    <w:abstractNumId w:val="1"/>
  </w:num>
  <w:num w:numId="16">
    <w:abstractNumId w:val="18"/>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0"/>
  </w:num>
  <w:num w:numId="24">
    <w:abstractNumId w:val="12"/>
  </w:num>
  <w:num w:numId="25">
    <w:abstractNumId w:val="21"/>
  </w:num>
  <w:num w:numId="26">
    <w:abstractNumId w:val="19"/>
  </w:num>
  <w:num w:numId="27">
    <w:abstractNumId w:val="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CHARCOSSET">
    <w15:presenceInfo w15:providerId="None" w15:userId="GCHARCOSS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9CE"/>
    <w:rsid w:val="00000F32"/>
    <w:rsid w:val="00004F06"/>
    <w:rsid w:val="00022D7B"/>
    <w:rsid w:val="00031772"/>
    <w:rsid w:val="00033756"/>
    <w:rsid w:val="00037D5A"/>
    <w:rsid w:val="000401F3"/>
    <w:rsid w:val="00041A1B"/>
    <w:rsid w:val="00043B04"/>
    <w:rsid w:val="000508D6"/>
    <w:rsid w:val="000538FB"/>
    <w:rsid w:val="000617D1"/>
    <w:rsid w:val="00063BEB"/>
    <w:rsid w:val="0006425C"/>
    <w:rsid w:val="000679FA"/>
    <w:rsid w:val="00076754"/>
    <w:rsid w:val="000922B7"/>
    <w:rsid w:val="000975BA"/>
    <w:rsid w:val="000A0172"/>
    <w:rsid w:val="000A234D"/>
    <w:rsid w:val="000A427E"/>
    <w:rsid w:val="000B7216"/>
    <w:rsid w:val="000B7C57"/>
    <w:rsid w:val="000C2759"/>
    <w:rsid w:val="000C43CD"/>
    <w:rsid w:val="000C58C3"/>
    <w:rsid w:val="000D3982"/>
    <w:rsid w:val="000E27EB"/>
    <w:rsid w:val="000E420C"/>
    <w:rsid w:val="000F2452"/>
    <w:rsid w:val="000F7BC1"/>
    <w:rsid w:val="00102472"/>
    <w:rsid w:val="00104E87"/>
    <w:rsid w:val="0011191F"/>
    <w:rsid w:val="00117B0E"/>
    <w:rsid w:val="001257D7"/>
    <w:rsid w:val="0013037C"/>
    <w:rsid w:val="00134B17"/>
    <w:rsid w:val="00136DB8"/>
    <w:rsid w:val="0015599E"/>
    <w:rsid w:val="001574C5"/>
    <w:rsid w:val="001609E5"/>
    <w:rsid w:val="0016280B"/>
    <w:rsid w:val="001642B4"/>
    <w:rsid w:val="00165E90"/>
    <w:rsid w:val="001709DB"/>
    <w:rsid w:val="001730A8"/>
    <w:rsid w:val="00185928"/>
    <w:rsid w:val="00193A7A"/>
    <w:rsid w:val="001A3DE4"/>
    <w:rsid w:val="001A7054"/>
    <w:rsid w:val="001B1D19"/>
    <w:rsid w:val="001C1222"/>
    <w:rsid w:val="001C18B9"/>
    <w:rsid w:val="001C3D27"/>
    <w:rsid w:val="001C6168"/>
    <w:rsid w:val="001D1000"/>
    <w:rsid w:val="001D416E"/>
    <w:rsid w:val="001D69CE"/>
    <w:rsid w:val="001D729F"/>
    <w:rsid w:val="001D7B71"/>
    <w:rsid w:val="001E0144"/>
    <w:rsid w:val="001E1DBF"/>
    <w:rsid w:val="001E2DDD"/>
    <w:rsid w:val="001E6DE5"/>
    <w:rsid w:val="001E7A35"/>
    <w:rsid w:val="001F048E"/>
    <w:rsid w:val="001F48B7"/>
    <w:rsid w:val="00202A91"/>
    <w:rsid w:val="002040F9"/>
    <w:rsid w:val="00210498"/>
    <w:rsid w:val="00214390"/>
    <w:rsid w:val="00214938"/>
    <w:rsid w:val="00215113"/>
    <w:rsid w:val="002219E1"/>
    <w:rsid w:val="0022769C"/>
    <w:rsid w:val="00233CC2"/>
    <w:rsid w:val="00236632"/>
    <w:rsid w:val="00243915"/>
    <w:rsid w:val="0025304B"/>
    <w:rsid w:val="002559D6"/>
    <w:rsid w:val="00257BFC"/>
    <w:rsid w:val="00266F07"/>
    <w:rsid w:val="00274023"/>
    <w:rsid w:val="00274275"/>
    <w:rsid w:val="00275AB5"/>
    <w:rsid w:val="002873D2"/>
    <w:rsid w:val="00290FB9"/>
    <w:rsid w:val="002A26DA"/>
    <w:rsid w:val="002B067C"/>
    <w:rsid w:val="002B1C5A"/>
    <w:rsid w:val="002B7AA6"/>
    <w:rsid w:val="002C037B"/>
    <w:rsid w:val="002E5226"/>
    <w:rsid w:val="002E5C8A"/>
    <w:rsid w:val="002F4A7E"/>
    <w:rsid w:val="002F7681"/>
    <w:rsid w:val="0030554F"/>
    <w:rsid w:val="00327712"/>
    <w:rsid w:val="0034274C"/>
    <w:rsid w:val="0034689D"/>
    <w:rsid w:val="003545A7"/>
    <w:rsid w:val="0036156A"/>
    <w:rsid w:val="00371F58"/>
    <w:rsid w:val="003731ED"/>
    <w:rsid w:val="003737DC"/>
    <w:rsid w:val="00382067"/>
    <w:rsid w:val="00382D17"/>
    <w:rsid w:val="00391554"/>
    <w:rsid w:val="00395453"/>
    <w:rsid w:val="003A2CB9"/>
    <w:rsid w:val="003A5CFE"/>
    <w:rsid w:val="003B443E"/>
    <w:rsid w:val="003B4ADB"/>
    <w:rsid w:val="003C53AB"/>
    <w:rsid w:val="003D3FF8"/>
    <w:rsid w:val="003D69F9"/>
    <w:rsid w:val="003F082D"/>
    <w:rsid w:val="00406BD9"/>
    <w:rsid w:val="00410430"/>
    <w:rsid w:val="00411C8D"/>
    <w:rsid w:val="004148F3"/>
    <w:rsid w:val="0042114E"/>
    <w:rsid w:val="0042309D"/>
    <w:rsid w:val="004307AC"/>
    <w:rsid w:val="00433BCD"/>
    <w:rsid w:val="00440D14"/>
    <w:rsid w:val="004447A0"/>
    <w:rsid w:val="0045128E"/>
    <w:rsid w:val="00453C43"/>
    <w:rsid w:val="00464053"/>
    <w:rsid w:val="00481C1F"/>
    <w:rsid w:val="0049243E"/>
    <w:rsid w:val="0049312F"/>
    <w:rsid w:val="00497B89"/>
    <w:rsid w:val="00497C04"/>
    <w:rsid w:val="004E1B48"/>
    <w:rsid w:val="004E2E8E"/>
    <w:rsid w:val="004F1453"/>
    <w:rsid w:val="004F29AB"/>
    <w:rsid w:val="004F5FEC"/>
    <w:rsid w:val="00510660"/>
    <w:rsid w:val="00515084"/>
    <w:rsid w:val="005154A8"/>
    <w:rsid w:val="00517C7A"/>
    <w:rsid w:val="0052173D"/>
    <w:rsid w:val="0052746F"/>
    <w:rsid w:val="005352F9"/>
    <w:rsid w:val="0054342D"/>
    <w:rsid w:val="00547AA6"/>
    <w:rsid w:val="00551E66"/>
    <w:rsid w:val="00551EFB"/>
    <w:rsid w:val="00553309"/>
    <w:rsid w:val="00560523"/>
    <w:rsid w:val="0056463B"/>
    <w:rsid w:val="005663D5"/>
    <w:rsid w:val="00566706"/>
    <w:rsid w:val="00576EFC"/>
    <w:rsid w:val="00582BC0"/>
    <w:rsid w:val="00586CFE"/>
    <w:rsid w:val="005937D0"/>
    <w:rsid w:val="005A22CB"/>
    <w:rsid w:val="005B4B33"/>
    <w:rsid w:val="005C08AB"/>
    <w:rsid w:val="005C3F53"/>
    <w:rsid w:val="005C57EB"/>
    <w:rsid w:val="005D0C52"/>
    <w:rsid w:val="005E0D45"/>
    <w:rsid w:val="005E3381"/>
    <w:rsid w:val="005E5A04"/>
    <w:rsid w:val="005F18AF"/>
    <w:rsid w:val="00600DE1"/>
    <w:rsid w:val="006022EB"/>
    <w:rsid w:val="006041C9"/>
    <w:rsid w:val="00605807"/>
    <w:rsid w:val="006243E9"/>
    <w:rsid w:val="00624E57"/>
    <w:rsid w:val="00625EE2"/>
    <w:rsid w:val="00626294"/>
    <w:rsid w:val="00647E0B"/>
    <w:rsid w:val="006526F0"/>
    <w:rsid w:val="00654037"/>
    <w:rsid w:val="006551E3"/>
    <w:rsid w:val="0065745C"/>
    <w:rsid w:val="0066180C"/>
    <w:rsid w:val="00665B64"/>
    <w:rsid w:val="00674290"/>
    <w:rsid w:val="006762D4"/>
    <w:rsid w:val="006801DB"/>
    <w:rsid w:val="0068161D"/>
    <w:rsid w:val="006836ED"/>
    <w:rsid w:val="006848B7"/>
    <w:rsid w:val="00693FD7"/>
    <w:rsid w:val="006A0A7A"/>
    <w:rsid w:val="006A0C80"/>
    <w:rsid w:val="006A5CA9"/>
    <w:rsid w:val="006A5CFB"/>
    <w:rsid w:val="006B2158"/>
    <w:rsid w:val="006B363F"/>
    <w:rsid w:val="006B4545"/>
    <w:rsid w:val="006B4988"/>
    <w:rsid w:val="006B6CEF"/>
    <w:rsid w:val="006B7E48"/>
    <w:rsid w:val="006B7FD1"/>
    <w:rsid w:val="006D1889"/>
    <w:rsid w:val="006E52F7"/>
    <w:rsid w:val="006E7991"/>
    <w:rsid w:val="006F7040"/>
    <w:rsid w:val="00705621"/>
    <w:rsid w:val="00707E5A"/>
    <w:rsid w:val="0071220A"/>
    <w:rsid w:val="00712F24"/>
    <w:rsid w:val="00724CCC"/>
    <w:rsid w:val="00732AB2"/>
    <w:rsid w:val="00732EE8"/>
    <w:rsid w:val="007353C8"/>
    <w:rsid w:val="00740C7A"/>
    <w:rsid w:val="00741A06"/>
    <w:rsid w:val="00744C6F"/>
    <w:rsid w:val="0075449C"/>
    <w:rsid w:val="007640E9"/>
    <w:rsid w:val="00767F14"/>
    <w:rsid w:val="00782473"/>
    <w:rsid w:val="00784E71"/>
    <w:rsid w:val="0079432A"/>
    <w:rsid w:val="0079647D"/>
    <w:rsid w:val="007976CF"/>
    <w:rsid w:val="007A69FC"/>
    <w:rsid w:val="007A702F"/>
    <w:rsid w:val="007B1AD2"/>
    <w:rsid w:val="007B1FF9"/>
    <w:rsid w:val="007B3B7A"/>
    <w:rsid w:val="007C63D2"/>
    <w:rsid w:val="007D0FF5"/>
    <w:rsid w:val="007D50A4"/>
    <w:rsid w:val="007D69C5"/>
    <w:rsid w:val="007E26A8"/>
    <w:rsid w:val="007E6399"/>
    <w:rsid w:val="007F3DB0"/>
    <w:rsid w:val="00802CDA"/>
    <w:rsid w:val="00810286"/>
    <w:rsid w:val="00812BEC"/>
    <w:rsid w:val="008173BA"/>
    <w:rsid w:val="00820C3F"/>
    <w:rsid w:val="00823A9F"/>
    <w:rsid w:val="00825391"/>
    <w:rsid w:val="008333B8"/>
    <w:rsid w:val="00833B50"/>
    <w:rsid w:val="00841852"/>
    <w:rsid w:val="008431BC"/>
    <w:rsid w:val="0084444E"/>
    <w:rsid w:val="00844E3F"/>
    <w:rsid w:val="0084508D"/>
    <w:rsid w:val="008557FD"/>
    <w:rsid w:val="00861F3E"/>
    <w:rsid w:val="00873D03"/>
    <w:rsid w:val="00874A5D"/>
    <w:rsid w:val="00877E1A"/>
    <w:rsid w:val="00881796"/>
    <w:rsid w:val="00881C3D"/>
    <w:rsid w:val="00882F06"/>
    <w:rsid w:val="00884EF8"/>
    <w:rsid w:val="008960C2"/>
    <w:rsid w:val="008A1C27"/>
    <w:rsid w:val="008A5320"/>
    <w:rsid w:val="008C06F7"/>
    <w:rsid w:val="008C13D9"/>
    <w:rsid w:val="008D115D"/>
    <w:rsid w:val="008D5378"/>
    <w:rsid w:val="008E5201"/>
    <w:rsid w:val="008F0CC5"/>
    <w:rsid w:val="008F2454"/>
    <w:rsid w:val="008F4D06"/>
    <w:rsid w:val="008F5702"/>
    <w:rsid w:val="008F7444"/>
    <w:rsid w:val="00902659"/>
    <w:rsid w:val="00924A7A"/>
    <w:rsid w:val="00930994"/>
    <w:rsid w:val="009337B3"/>
    <w:rsid w:val="00935C73"/>
    <w:rsid w:val="00964863"/>
    <w:rsid w:val="009679A0"/>
    <w:rsid w:val="00973E35"/>
    <w:rsid w:val="00990A60"/>
    <w:rsid w:val="00991415"/>
    <w:rsid w:val="00995D61"/>
    <w:rsid w:val="009A152D"/>
    <w:rsid w:val="009A18A2"/>
    <w:rsid w:val="009A360D"/>
    <w:rsid w:val="009A4FD5"/>
    <w:rsid w:val="009A5FCA"/>
    <w:rsid w:val="009B6E81"/>
    <w:rsid w:val="009D1AC7"/>
    <w:rsid w:val="009D5A25"/>
    <w:rsid w:val="009E14A5"/>
    <w:rsid w:val="009E1FC2"/>
    <w:rsid w:val="009E3A01"/>
    <w:rsid w:val="00A010FD"/>
    <w:rsid w:val="00A04789"/>
    <w:rsid w:val="00A04900"/>
    <w:rsid w:val="00A14CE1"/>
    <w:rsid w:val="00A27F8E"/>
    <w:rsid w:val="00A315F9"/>
    <w:rsid w:val="00A340F9"/>
    <w:rsid w:val="00A37F31"/>
    <w:rsid w:val="00A4654D"/>
    <w:rsid w:val="00A572D1"/>
    <w:rsid w:val="00A62C0B"/>
    <w:rsid w:val="00A64E0D"/>
    <w:rsid w:val="00A72520"/>
    <w:rsid w:val="00A74886"/>
    <w:rsid w:val="00A82418"/>
    <w:rsid w:val="00A95480"/>
    <w:rsid w:val="00AA238B"/>
    <w:rsid w:val="00AA24A7"/>
    <w:rsid w:val="00AA7F00"/>
    <w:rsid w:val="00AB18DD"/>
    <w:rsid w:val="00AB1B4C"/>
    <w:rsid w:val="00AB3105"/>
    <w:rsid w:val="00AB4309"/>
    <w:rsid w:val="00AB6548"/>
    <w:rsid w:val="00AB6AD0"/>
    <w:rsid w:val="00AC2B38"/>
    <w:rsid w:val="00AC3202"/>
    <w:rsid w:val="00AC3CB4"/>
    <w:rsid w:val="00AC69FB"/>
    <w:rsid w:val="00AC6E45"/>
    <w:rsid w:val="00AC71A6"/>
    <w:rsid w:val="00AD4F48"/>
    <w:rsid w:val="00AE74ED"/>
    <w:rsid w:val="00AE7706"/>
    <w:rsid w:val="00AF290C"/>
    <w:rsid w:val="00AF32E3"/>
    <w:rsid w:val="00AF358E"/>
    <w:rsid w:val="00AF575F"/>
    <w:rsid w:val="00B005E0"/>
    <w:rsid w:val="00B06630"/>
    <w:rsid w:val="00B11702"/>
    <w:rsid w:val="00B217E0"/>
    <w:rsid w:val="00B226DF"/>
    <w:rsid w:val="00B35F30"/>
    <w:rsid w:val="00B36BDC"/>
    <w:rsid w:val="00B41057"/>
    <w:rsid w:val="00B42873"/>
    <w:rsid w:val="00B43F12"/>
    <w:rsid w:val="00B44AFF"/>
    <w:rsid w:val="00B45C81"/>
    <w:rsid w:val="00B476A8"/>
    <w:rsid w:val="00B47C29"/>
    <w:rsid w:val="00B55E79"/>
    <w:rsid w:val="00B6084D"/>
    <w:rsid w:val="00B616FF"/>
    <w:rsid w:val="00B7150C"/>
    <w:rsid w:val="00B74F76"/>
    <w:rsid w:val="00B81D14"/>
    <w:rsid w:val="00B84BF3"/>
    <w:rsid w:val="00B9103C"/>
    <w:rsid w:val="00BA66EB"/>
    <w:rsid w:val="00BB1638"/>
    <w:rsid w:val="00BC0F06"/>
    <w:rsid w:val="00BC308E"/>
    <w:rsid w:val="00BC313A"/>
    <w:rsid w:val="00BE0531"/>
    <w:rsid w:val="00BE0AD1"/>
    <w:rsid w:val="00BE159C"/>
    <w:rsid w:val="00BE3500"/>
    <w:rsid w:val="00BE5364"/>
    <w:rsid w:val="00BE6714"/>
    <w:rsid w:val="00C027CF"/>
    <w:rsid w:val="00C0567D"/>
    <w:rsid w:val="00C12CA3"/>
    <w:rsid w:val="00C17FAD"/>
    <w:rsid w:val="00C22A17"/>
    <w:rsid w:val="00C301DA"/>
    <w:rsid w:val="00C31449"/>
    <w:rsid w:val="00C3152F"/>
    <w:rsid w:val="00C36B1D"/>
    <w:rsid w:val="00C37B02"/>
    <w:rsid w:val="00C419A7"/>
    <w:rsid w:val="00C47CC2"/>
    <w:rsid w:val="00C57688"/>
    <w:rsid w:val="00C605FC"/>
    <w:rsid w:val="00C641C3"/>
    <w:rsid w:val="00C65962"/>
    <w:rsid w:val="00C7213D"/>
    <w:rsid w:val="00C817D0"/>
    <w:rsid w:val="00C91083"/>
    <w:rsid w:val="00C92CC5"/>
    <w:rsid w:val="00CA3126"/>
    <w:rsid w:val="00CA6B68"/>
    <w:rsid w:val="00CB72AE"/>
    <w:rsid w:val="00CC4B9C"/>
    <w:rsid w:val="00CC688F"/>
    <w:rsid w:val="00CD0414"/>
    <w:rsid w:val="00CE7521"/>
    <w:rsid w:val="00D00CC7"/>
    <w:rsid w:val="00D01A3F"/>
    <w:rsid w:val="00D01D26"/>
    <w:rsid w:val="00D036E8"/>
    <w:rsid w:val="00D06310"/>
    <w:rsid w:val="00D156AA"/>
    <w:rsid w:val="00D20CC5"/>
    <w:rsid w:val="00D448C8"/>
    <w:rsid w:val="00D46FBA"/>
    <w:rsid w:val="00D508AF"/>
    <w:rsid w:val="00D53005"/>
    <w:rsid w:val="00D63591"/>
    <w:rsid w:val="00D648A9"/>
    <w:rsid w:val="00D66664"/>
    <w:rsid w:val="00D70743"/>
    <w:rsid w:val="00D867E9"/>
    <w:rsid w:val="00D9307E"/>
    <w:rsid w:val="00D96A1A"/>
    <w:rsid w:val="00DA3568"/>
    <w:rsid w:val="00DA3AEF"/>
    <w:rsid w:val="00DA72C7"/>
    <w:rsid w:val="00DB36D3"/>
    <w:rsid w:val="00DB6EFA"/>
    <w:rsid w:val="00DC733B"/>
    <w:rsid w:val="00DF35E2"/>
    <w:rsid w:val="00E03207"/>
    <w:rsid w:val="00E1104B"/>
    <w:rsid w:val="00E1654A"/>
    <w:rsid w:val="00E22EE2"/>
    <w:rsid w:val="00E35733"/>
    <w:rsid w:val="00E50802"/>
    <w:rsid w:val="00E50E5B"/>
    <w:rsid w:val="00E61F1D"/>
    <w:rsid w:val="00E6485C"/>
    <w:rsid w:val="00E6566C"/>
    <w:rsid w:val="00E66488"/>
    <w:rsid w:val="00E70AED"/>
    <w:rsid w:val="00E72324"/>
    <w:rsid w:val="00E72A4E"/>
    <w:rsid w:val="00E76489"/>
    <w:rsid w:val="00E76FBE"/>
    <w:rsid w:val="00E906E4"/>
    <w:rsid w:val="00E93B5C"/>
    <w:rsid w:val="00E94EA6"/>
    <w:rsid w:val="00E9551B"/>
    <w:rsid w:val="00EA00C8"/>
    <w:rsid w:val="00EA4F0E"/>
    <w:rsid w:val="00EB5F66"/>
    <w:rsid w:val="00EB6406"/>
    <w:rsid w:val="00EC1D71"/>
    <w:rsid w:val="00ED0330"/>
    <w:rsid w:val="00ED0BD9"/>
    <w:rsid w:val="00EE5A0A"/>
    <w:rsid w:val="00EF42E1"/>
    <w:rsid w:val="00F0341F"/>
    <w:rsid w:val="00F17B5F"/>
    <w:rsid w:val="00F24B2E"/>
    <w:rsid w:val="00F25510"/>
    <w:rsid w:val="00F269A8"/>
    <w:rsid w:val="00F344C8"/>
    <w:rsid w:val="00F363F9"/>
    <w:rsid w:val="00F5169F"/>
    <w:rsid w:val="00F53630"/>
    <w:rsid w:val="00F54417"/>
    <w:rsid w:val="00F54A6E"/>
    <w:rsid w:val="00F60007"/>
    <w:rsid w:val="00F6645F"/>
    <w:rsid w:val="00F66DBD"/>
    <w:rsid w:val="00F733BC"/>
    <w:rsid w:val="00F748DB"/>
    <w:rsid w:val="00F87725"/>
    <w:rsid w:val="00F9013A"/>
    <w:rsid w:val="00F947EB"/>
    <w:rsid w:val="00F96652"/>
    <w:rsid w:val="00FA22B9"/>
    <w:rsid w:val="00FA47F6"/>
    <w:rsid w:val="00FA5438"/>
    <w:rsid w:val="00FB0789"/>
    <w:rsid w:val="00FB0B9F"/>
    <w:rsid w:val="00FB2E19"/>
    <w:rsid w:val="00FB4A30"/>
    <w:rsid w:val="00FC014A"/>
    <w:rsid w:val="00FC7EB5"/>
    <w:rsid w:val="00FD76EA"/>
    <w:rsid w:val="00FE0FBF"/>
    <w:rsid w:val="00FF5A4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B3C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link w:val="Titre1Car"/>
    <w:uiPriority w:val="99"/>
    <w:qFormat/>
    <w:rsid w:val="00F733BC"/>
    <w:pPr>
      <w:widowControl w:val="0"/>
      <w:spacing w:before="240"/>
      <w:outlineLvl w:val="0"/>
    </w:pPr>
    <w:rPr>
      <w:rFonts w:asciiTheme="majorHAnsi" w:hAnsiTheme="majorHAnsi"/>
      <w:b/>
      <w:color w:val="00B5C6"/>
      <w:sz w:val="28"/>
      <w:szCs w:val="28"/>
    </w:rPr>
  </w:style>
  <w:style w:type="paragraph" w:styleId="Titre2">
    <w:name w:val="heading 2"/>
    <w:next w:val="Sansinterligne"/>
    <w:link w:val="Titre2Car"/>
    <w:uiPriority w:val="9"/>
    <w:unhideWhenUsed/>
    <w:qFormat/>
    <w:rsid w:val="0054342D"/>
    <w:pPr>
      <w:keepNext/>
      <w:keepLines/>
      <w:numPr>
        <w:numId w:val="17"/>
      </w:numPr>
      <w:spacing w:before="80"/>
      <w:ind w:left="737" w:hanging="737"/>
      <w:outlineLvl w:val="1"/>
    </w:pPr>
    <w:rPr>
      <w:rFonts w:ascii="Calibri" w:eastAsia="Times New Roman" w:hAnsi="Calibri"/>
      <w:b/>
      <w:bCs/>
      <w:color w:val="00B5C6"/>
      <w:sz w:val="44"/>
      <w:szCs w:val="26"/>
      <w:lang w:val="en-US" w:eastAsia="en-US"/>
    </w:rPr>
  </w:style>
  <w:style w:type="paragraph" w:styleId="Titre3">
    <w:name w:val="heading 3"/>
    <w:basedOn w:val="Normal"/>
    <w:link w:val="Titre3Car"/>
    <w:uiPriority w:val="9"/>
    <w:qFormat/>
    <w:rsid w:val="00AE74ED"/>
    <w:pPr>
      <w:spacing w:before="100" w:beforeAutospacing="1" w:after="100" w:afterAutospacing="1"/>
      <w:outlineLvl w:val="2"/>
    </w:pPr>
    <w:rPr>
      <w:rFonts w:eastAsia="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69CE"/>
    <w:rPr>
      <w:rFonts w:ascii="Lucida Grande" w:hAnsi="Lucida Grande"/>
      <w:sz w:val="18"/>
      <w:szCs w:val="18"/>
    </w:rPr>
  </w:style>
  <w:style w:type="character" w:customStyle="1" w:styleId="TextedebullesCar">
    <w:name w:val="Texte de bulles Car"/>
    <w:basedOn w:val="Policepardfaut"/>
    <w:link w:val="Textedebulles"/>
    <w:uiPriority w:val="99"/>
    <w:semiHidden/>
    <w:rsid w:val="001D69CE"/>
    <w:rPr>
      <w:rFonts w:ascii="Lucida Grande" w:hAnsi="Lucida Grande"/>
      <w:sz w:val="18"/>
      <w:szCs w:val="18"/>
      <w:lang w:eastAsia="fr-FR"/>
    </w:rPr>
  </w:style>
  <w:style w:type="paragraph" w:styleId="En-tte">
    <w:name w:val="header"/>
    <w:basedOn w:val="Normal"/>
    <w:link w:val="En-tteCar"/>
    <w:uiPriority w:val="99"/>
    <w:unhideWhenUsed/>
    <w:rsid w:val="009B6E81"/>
    <w:pPr>
      <w:tabs>
        <w:tab w:val="center" w:pos="4536"/>
        <w:tab w:val="right" w:pos="9072"/>
      </w:tabs>
    </w:pPr>
  </w:style>
  <w:style w:type="character" w:customStyle="1" w:styleId="En-tteCar">
    <w:name w:val="En-tête Car"/>
    <w:basedOn w:val="Policepardfaut"/>
    <w:link w:val="En-tte"/>
    <w:uiPriority w:val="99"/>
    <w:rsid w:val="009B6E81"/>
    <w:rPr>
      <w:sz w:val="24"/>
      <w:szCs w:val="24"/>
      <w:lang w:eastAsia="fr-FR"/>
    </w:rPr>
  </w:style>
  <w:style w:type="paragraph" w:styleId="Pieddepage">
    <w:name w:val="footer"/>
    <w:basedOn w:val="Normal"/>
    <w:link w:val="PieddepageCar"/>
    <w:uiPriority w:val="99"/>
    <w:unhideWhenUsed/>
    <w:rsid w:val="009B6E81"/>
    <w:pPr>
      <w:tabs>
        <w:tab w:val="center" w:pos="4536"/>
        <w:tab w:val="right" w:pos="9072"/>
      </w:tabs>
    </w:pPr>
  </w:style>
  <w:style w:type="character" w:customStyle="1" w:styleId="PieddepageCar">
    <w:name w:val="Pied de page Car"/>
    <w:basedOn w:val="Policepardfaut"/>
    <w:link w:val="Pieddepage"/>
    <w:uiPriority w:val="99"/>
    <w:rsid w:val="009B6E81"/>
    <w:rPr>
      <w:sz w:val="24"/>
      <w:szCs w:val="24"/>
      <w:lang w:eastAsia="fr-FR"/>
    </w:rPr>
  </w:style>
  <w:style w:type="table" w:styleId="Grilledutableau">
    <w:name w:val="Table Grid"/>
    <w:basedOn w:val="TableauNormal"/>
    <w:uiPriority w:val="59"/>
    <w:rsid w:val="00064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353C8"/>
    <w:pPr>
      <w:widowControl w:val="0"/>
      <w:spacing w:after="200" w:line="276" w:lineRule="auto"/>
      <w:ind w:left="720"/>
      <w:contextualSpacing/>
    </w:pPr>
    <w:rPr>
      <w:rFonts w:ascii="Calibri" w:eastAsia="Calibri" w:hAnsi="Calibri"/>
      <w:sz w:val="22"/>
      <w:szCs w:val="22"/>
      <w:lang w:val="en-US" w:eastAsia="en-US"/>
    </w:rPr>
  </w:style>
  <w:style w:type="character" w:customStyle="1" w:styleId="Titre1Car">
    <w:name w:val="Titre 1 Car"/>
    <w:basedOn w:val="Policepardfaut"/>
    <w:link w:val="Titre1"/>
    <w:uiPriority w:val="99"/>
    <w:rsid w:val="00F733BC"/>
    <w:rPr>
      <w:rFonts w:asciiTheme="majorHAnsi" w:hAnsiTheme="majorHAnsi"/>
      <w:b/>
      <w:color w:val="00B5C6"/>
      <w:sz w:val="28"/>
      <w:szCs w:val="28"/>
      <w:lang w:val="fr-FR"/>
    </w:rPr>
  </w:style>
  <w:style w:type="paragraph" w:styleId="Corpsdetexte">
    <w:name w:val="Body Text"/>
    <w:basedOn w:val="Normal"/>
    <w:link w:val="CorpsdetexteCar"/>
    <w:uiPriority w:val="99"/>
    <w:rsid w:val="007353C8"/>
    <w:pPr>
      <w:widowControl w:val="0"/>
      <w:spacing w:before="12"/>
      <w:ind w:left="270"/>
    </w:pPr>
    <w:rPr>
      <w:rFonts w:ascii="Arial" w:eastAsia="Calibri" w:hAnsi="Arial"/>
      <w:i/>
      <w:sz w:val="19"/>
      <w:szCs w:val="19"/>
      <w:lang w:eastAsia="en-US"/>
    </w:rPr>
  </w:style>
  <w:style w:type="character" w:customStyle="1" w:styleId="CorpsdetexteCar">
    <w:name w:val="Corps de texte Car"/>
    <w:basedOn w:val="Policepardfaut"/>
    <w:link w:val="Corpsdetexte"/>
    <w:uiPriority w:val="99"/>
    <w:rsid w:val="007353C8"/>
    <w:rPr>
      <w:rFonts w:ascii="Arial" w:eastAsia="Calibri" w:hAnsi="Arial"/>
      <w:i/>
      <w:sz w:val="19"/>
      <w:szCs w:val="19"/>
      <w:lang w:val="fr-FR" w:eastAsia="en-US"/>
    </w:rPr>
  </w:style>
  <w:style w:type="paragraph" w:customStyle="1" w:styleId="TableParagraph">
    <w:name w:val="Table Paragraph"/>
    <w:basedOn w:val="Normal"/>
    <w:uiPriority w:val="99"/>
    <w:rsid w:val="007353C8"/>
    <w:pPr>
      <w:widowControl w:val="0"/>
    </w:pPr>
    <w:rPr>
      <w:rFonts w:ascii="Calibri" w:eastAsia="Calibri" w:hAnsi="Calibri"/>
      <w:sz w:val="22"/>
      <w:szCs w:val="22"/>
      <w:lang w:eastAsia="en-US"/>
    </w:rPr>
  </w:style>
  <w:style w:type="character" w:styleId="Lienhypertexte">
    <w:name w:val="Hyperlink"/>
    <w:basedOn w:val="Policepardfaut"/>
    <w:uiPriority w:val="99"/>
    <w:unhideWhenUsed/>
    <w:rsid w:val="007353C8"/>
    <w:rPr>
      <w:color w:val="0000FF"/>
      <w:u w:val="single"/>
    </w:rPr>
  </w:style>
  <w:style w:type="character" w:styleId="Lienhypertextesuivivisit">
    <w:name w:val="FollowedHyperlink"/>
    <w:basedOn w:val="Policepardfaut"/>
    <w:uiPriority w:val="99"/>
    <w:semiHidden/>
    <w:unhideWhenUsed/>
    <w:rsid w:val="007353C8"/>
    <w:rPr>
      <w:color w:val="800080"/>
      <w:u w:val="single"/>
    </w:rPr>
  </w:style>
  <w:style w:type="character" w:styleId="Marquedecommentaire">
    <w:name w:val="annotation reference"/>
    <w:basedOn w:val="Policepardfaut"/>
    <w:uiPriority w:val="99"/>
    <w:semiHidden/>
    <w:unhideWhenUsed/>
    <w:rsid w:val="00E70AED"/>
    <w:rPr>
      <w:sz w:val="16"/>
      <w:szCs w:val="16"/>
    </w:rPr>
  </w:style>
  <w:style w:type="paragraph" w:styleId="Commentaire">
    <w:name w:val="annotation text"/>
    <w:basedOn w:val="Normal"/>
    <w:link w:val="CommentaireCar"/>
    <w:uiPriority w:val="99"/>
    <w:semiHidden/>
    <w:unhideWhenUsed/>
    <w:rsid w:val="00E70AED"/>
  </w:style>
  <w:style w:type="character" w:customStyle="1" w:styleId="CommentaireCar">
    <w:name w:val="Commentaire Car"/>
    <w:basedOn w:val="Policepardfaut"/>
    <w:link w:val="Commentaire"/>
    <w:uiPriority w:val="99"/>
    <w:semiHidden/>
    <w:rsid w:val="00E70AED"/>
    <w:rPr>
      <w:lang w:eastAsia="fr-FR"/>
    </w:rPr>
  </w:style>
  <w:style w:type="paragraph" w:styleId="Objetducommentaire">
    <w:name w:val="annotation subject"/>
    <w:basedOn w:val="Commentaire"/>
    <w:next w:val="Commentaire"/>
    <w:link w:val="ObjetducommentaireCar"/>
    <w:uiPriority w:val="99"/>
    <w:semiHidden/>
    <w:unhideWhenUsed/>
    <w:rsid w:val="00E70AED"/>
    <w:rPr>
      <w:b/>
      <w:bCs/>
    </w:rPr>
  </w:style>
  <w:style w:type="character" w:customStyle="1" w:styleId="ObjetducommentaireCar">
    <w:name w:val="Objet du commentaire Car"/>
    <w:basedOn w:val="CommentaireCar"/>
    <w:link w:val="Objetducommentaire"/>
    <w:uiPriority w:val="99"/>
    <w:semiHidden/>
    <w:rsid w:val="00E70AED"/>
    <w:rPr>
      <w:b/>
      <w:bCs/>
      <w:lang w:eastAsia="fr-FR"/>
    </w:rPr>
  </w:style>
  <w:style w:type="character" w:customStyle="1" w:styleId="st">
    <w:name w:val="st"/>
    <w:basedOn w:val="Policepardfaut"/>
    <w:rsid w:val="006B6CEF"/>
  </w:style>
  <w:style w:type="character" w:styleId="Appelnotedebasdep">
    <w:name w:val="footnote reference"/>
    <w:semiHidden/>
    <w:rsid w:val="00B36BDC"/>
    <w:rPr>
      <w:vertAlign w:val="superscript"/>
    </w:rPr>
  </w:style>
  <w:style w:type="paragraph" w:styleId="Notedebasdepage">
    <w:name w:val="footnote text"/>
    <w:basedOn w:val="Normal"/>
    <w:link w:val="NotedebasdepageCar"/>
    <w:uiPriority w:val="99"/>
    <w:semiHidden/>
    <w:unhideWhenUsed/>
    <w:rsid w:val="00CB72AE"/>
  </w:style>
  <w:style w:type="character" w:customStyle="1" w:styleId="NotedebasdepageCar">
    <w:name w:val="Note de bas de page Car"/>
    <w:basedOn w:val="Policepardfaut"/>
    <w:link w:val="Notedebasdepage"/>
    <w:uiPriority w:val="99"/>
    <w:semiHidden/>
    <w:rsid w:val="00CB72AE"/>
    <w:rPr>
      <w:lang w:eastAsia="fr-FR"/>
    </w:rPr>
  </w:style>
  <w:style w:type="character" w:customStyle="1" w:styleId="texte">
    <w:name w:val="texte"/>
    <w:basedOn w:val="Policepardfaut"/>
    <w:rsid w:val="00844E3F"/>
  </w:style>
  <w:style w:type="paragraph" w:styleId="En-ttedetabledesmatires">
    <w:name w:val="TOC Heading"/>
    <w:basedOn w:val="Titre1"/>
    <w:next w:val="Normal"/>
    <w:uiPriority w:val="39"/>
    <w:unhideWhenUsed/>
    <w:qFormat/>
    <w:rsid w:val="00DB6EFA"/>
    <w:pPr>
      <w:keepNext/>
      <w:keepLines/>
      <w:widowControl/>
      <w:spacing w:before="480" w:line="276" w:lineRule="auto"/>
      <w:outlineLvl w:val="9"/>
    </w:pPr>
    <w:rPr>
      <w:rFonts w:eastAsiaTheme="majorEastAsia" w:cstheme="majorBidi"/>
      <w:b w:val="0"/>
      <w:bCs/>
      <w:color w:val="365F91" w:themeColor="accent1" w:themeShade="BF"/>
      <w:lang w:eastAsia="fr-FR"/>
    </w:rPr>
  </w:style>
  <w:style w:type="paragraph" w:styleId="TM1">
    <w:name w:val="toc 1"/>
    <w:basedOn w:val="Normal"/>
    <w:next w:val="Normal"/>
    <w:autoRedefine/>
    <w:uiPriority w:val="39"/>
    <w:unhideWhenUsed/>
    <w:rsid w:val="006762D4"/>
    <w:pPr>
      <w:tabs>
        <w:tab w:val="right" w:leader="dot" w:pos="9061"/>
      </w:tabs>
      <w:spacing w:after="100"/>
    </w:pPr>
    <w:rPr>
      <w:rFonts w:asciiTheme="majorHAnsi" w:hAnsiTheme="majorHAnsi"/>
      <w:noProof/>
    </w:rPr>
  </w:style>
  <w:style w:type="paragraph" w:customStyle="1" w:styleId="Titre21">
    <w:name w:val="Titre 21"/>
    <w:basedOn w:val="Normal"/>
    <w:next w:val="Normal"/>
    <w:uiPriority w:val="9"/>
    <w:semiHidden/>
    <w:unhideWhenUsed/>
    <w:qFormat/>
    <w:rsid w:val="00AE74ED"/>
    <w:pPr>
      <w:keepNext/>
      <w:keepLines/>
      <w:spacing w:before="200" w:line="276" w:lineRule="auto"/>
      <w:outlineLvl w:val="1"/>
    </w:pPr>
    <w:rPr>
      <w:rFonts w:ascii="Cambria" w:eastAsia="Times New Roman" w:hAnsi="Cambria"/>
      <w:b/>
      <w:bCs/>
      <w:color w:val="4F81BD"/>
      <w:sz w:val="26"/>
      <w:szCs w:val="26"/>
      <w:lang w:eastAsia="en-US"/>
    </w:rPr>
  </w:style>
  <w:style w:type="character" w:customStyle="1" w:styleId="Titre3Car">
    <w:name w:val="Titre 3 Car"/>
    <w:basedOn w:val="Policepardfaut"/>
    <w:link w:val="Titre3"/>
    <w:uiPriority w:val="9"/>
    <w:rsid w:val="00AE74ED"/>
    <w:rPr>
      <w:rFonts w:eastAsia="Times New Roman"/>
      <w:b/>
      <w:bCs/>
      <w:sz w:val="27"/>
      <w:szCs w:val="27"/>
      <w:lang w:val="fr-FR" w:eastAsia="fr-FR"/>
    </w:rPr>
  </w:style>
  <w:style w:type="numbering" w:customStyle="1" w:styleId="Aucuneliste1">
    <w:name w:val="Aucune liste1"/>
    <w:next w:val="Aucuneliste"/>
    <w:uiPriority w:val="99"/>
    <w:semiHidden/>
    <w:unhideWhenUsed/>
    <w:rsid w:val="00AE74ED"/>
  </w:style>
  <w:style w:type="character" w:customStyle="1" w:styleId="Titre2Car">
    <w:name w:val="Titre 2 Car"/>
    <w:basedOn w:val="Policepardfaut"/>
    <w:link w:val="Titre2"/>
    <w:uiPriority w:val="9"/>
    <w:rsid w:val="0054342D"/>
    <w:rPr>
      <w:rFonts w:ascii="Calibri" w:eastAsia="Times New Roman" w:hAnsi="Calibri"/>
      <w:b/>
      <w:bCs/>
      <w:color w:val="00B5C6"/>
      <w:sz w:val="44"/>
      <w:szCs w:val="26"/>
      <w:lang w:val="en-US" w:eastAsia="en-US"/>
    </w:rPr>
  </w:style>
  <w:style w:type="table" w:customStyle="1" w:styleId="Grilledutableau1">
    <w:name w:val="Grille du tableau1"/>
    <w:basedOn w:val="TableauNormal"/>
    <w:next w:val="Grilledutableau"/>
    <w:uiPriority w:val="59"/>
    <w:rsid w:val="00AE74E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AE74ED"/>
    <w:rPr>
      <w:b/>
      <w:bCs/>
    </w:rPr>
  </w:style>
  <w:style w:type="character" w:customStyle="1" w:styleId="nornature">
    <w:name w:val="nor_nature"/>
    <w:basedOn w:val="Policepardfaut"/>
    <w:rsid w:val="00AE74ED"/>
  </w:style>
  <w:style w:type="character" w:customStyle="1" w:styleId="Titre2Car1">
    <w:name w:val="Titre 2 Car1"/>
    <w:basedOn w:val="Policepardfaut"/>
    <w:uiPriority w:val="9"/>
    <w:semiHidden/>
    <w:rsid w:val="00AE74ED"/>
    <w:rPr>
      <w:rFonts w:asciiTheme="majorHAnsi" w:eastAsiaTheme="majorEastAsia" w:hAnsiTheme="majorHAnsi" w:cstheme="majorBidi"/>
      <w:b/>
      <w:bCs/>
      <w:color w:val="4F81BD" w:themeColor="accent1"/>
      <w:sz w:val="26"/>
      <w:szCs w:val="26"/>
      <w:lang w:eastAsia="fr-FR"/>
    </w:rPr>
  </w:style>
  <w:style w:type="paragraph" w:styleId="TM2">
    <w:name w:val="toc 2"/>
    <w:basedOn w:val="Normal"/>
    <w:next w:val="Normal"/>
    <w:autoRedefine/>
    <w:uiPriority w:val="39"/>
    <w:unhideWhenUsed/>
    <w:rsid w:val="00C65962"/>
    <w:pPr>
      <w:tabs>
        <w:tab w:val="left" w:pos="660"/>
        <w:tab w:val="right" w:leader="dot" w:pos="9061"/>
      </w:tabs>
      <w:spacing w:after="100"/>
      <w:ind w:left="240"/>
    </w:pPr>
    <w:rPr>
      <w:rFonts w:asciiTheme="majorHAnsi" w:hAnsiTheme="majorHAnsi"/>
      <w:noProof/>
      <w:color w:val="7F7F7F" w:themeColor="text1" w:themeTint="80"/>
    </w:rPr>
  </w:style>
  <w:style w:type="paragraph" w:styleId="TM3">
    <w:name w:val="toc 3"/>
    <w:basedOn w:val="Normal"/>
    <w:next w:val="Normal"/>
    <w:autoRedefine/>
    <w:uiPriority w:val="39"/>
    <w:unhideWhenUsed/>
    <w:rsid w:val="00E76FBE"/>
    <w:pPr>
      <w:spacing w:after="100"/>
      <w:ind w:left="480"/>
    </w:pPr>
  </w:style>
  <w:style w:type="paragraph" w:styleId="Sansinterligne">
    <w:name w:val="No Spacing"/>
    <w:uiPriority w:val="1"/>
    <w:qFormat/>
    <w:rsid w:val="001F48B7"/>
  </w:style>
  <w:style w:type="table" w:customStyle="1" w:styleId="Grilledutableau2">
    <w:name w:val="Grille du tableau2"/>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D867E9"/>
    <w:rPr>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link w:val="Titre1Car"/>
    <w:uiPriority w:val="99"/>
    <w:qFormat/>
    <w:rsid w:val="00F733BC"/>
    <w:pPr>
      <w:widowControl w:val="0"/>
      <w:spacing w:before="240"/>
      <w:outlineLvl w:val="0"/>
    </w:pPr>
    <w:rPr>
      <w:rFonts w:asciiTheme="majorHAnsi" w:hAnsiTheme="majorHAnsi"/>
      <w:b/>
      <w:color w:val="00B5C6"/>
      <w:sz w:val="28"/>
      <w:szCs w:val="28"/>
    </w:rPr>
  </w:style>
  <w:style w:type="paragraph" w:styleId="Titre2">
    <w:name w:val="heading 2"/>
    <w:next w:val="Sansinterligne"/>
    <w:link w:val="Titre2Car"/>
    <w:uiPriority w:val="9"/>
    <w:unhideWhenUsed/>
    <w:qFormat/>
    <w:rsid w:val="0054342D"/>
    <w:pPr>
      <w:keepNext/>
      <w:keepLines/>
      <w:numPr>
        <w:numId w:val="17"/>
      </w:numPr>
      <w:spacing w:before="80"/>
      <w:ind w:left="737" w:hanging="737"/>
      <w:outlineLvl w:val="1"/>
    </w:pPr>
    <w:rPr>
      <w:rFonts w:ascii="Calibri" w:eastAsia="Times New Roman" w:hAnsi="Calibri"/>
      <w:b/>
      <w:bCs/>
      <w:color w:val="00B5C6"/>
      <w:sz w:val="44"/>
      <w:szCs w:val="26"/>
      <w:lang w:val="en-US" w:eastAsia="en-US"/>
    </w:rPr>
  </w:style>
  <w:style w:type="paragraph" w:styleId="Titre3">
    <w:name w:val="heading 3"/>
    <w:basedOn w:val="Normal"/>
    <w:link w:val="Titre3Car"/>
    <w:uiPriority w:val="9"/>
    <w:qFormat/>
    <w:rsid w:val="00AE74ED"/>
    <w:pPr>
      <w:spacing w:before="100" w:beforeAutospacing="1" w:after="100" w:afterAutospacing="1"/>
      <w:outlineLvl w:val="2"/>
    </w:pPr>
    <w:rPr>
      <w:rFonts w:eastAsia="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69CE"/>
    <w:rPr>
      <w:rFonts w:ascii="Lucida Grande" w:hAnsi="Lucida Grande"/>
      <w:sz w:val="18"/>
      <w:szCs w:val="18"/>
    </w:rPr>
  </w:style>
  <w:style w:type="character" w:customStyle="1" w:styleId="TextedebullesCar">
    <w:name w:val="Texte de bulles Car"/>
    <w:basedOn w:val="Policepardfaut"/>
    <w:link w:val="Textedebulles"/>
    <w:uiPriority w:val="99"/>
    <w:semiHidden/>
    <w:rsid w:val="001D69CE"/>
    <w:rPr>
      <w:rFonts w:ascii="Lucida Grande" w:hAnsi="Lucida Grande"/>
      <w:sz w:val="18"/>
      <w:szCs w:val="18"/>
      <w:lang w:eastAsia="fr-FR"/>
    </w:rPr>
  </w:style>
  <w:style w:type="paragraph" w:styleId="En-tte">
    <w:name w:val="header"/>
    <w:basedOn w:val="Normal"/>
    <w:link w:val="En-tteCar"/>
    <w:uiPriority w:val="99"/>
    <w:unhideWhenUsed/>
    <w:rsid w:val="009B6E81"/>
    <w:pPr>
      <w:tabs>
        <w:tab w:val="center" w:pos="4536"/>
        <w:tab w:val="right" w:pos="9072"/>
      </w:tabs>
    </w:pPr>
  </w:style>
  <w:style w:type="character" w:customStyle="1" w:styleId="En-tteCar">
    <w:name w:val="En-tête Car"/>
    <w:basedOn w:val="Policepardfaut"/>
    <w:link w:val="En-tte"/>
    <w:uiPriority w:val="99"/>
    <w:rsid w:val="009B6E81"/>
    <w:rPr>
      <w:sz w:val="24"/>
      <w:szCs w:val="24"/>
      <w:lang w:eastAsia="fr-FR"/>
    </w:rPr>
  </w:style>
  <w:style w:type="paragraph" w:styleId="Pieddepage">
    <w:name w:val="footer"/>
    <w:basedOn w:val="Normal"/>
    <w:link w:val="PieddepageCar"/>
    <w:uiPriority w:val="99"/>
    <w:unhideWhenUsed/>
    <w:rsid w:val="009B6E81"/>
    <w:pPr>
      <w:tabs>
        <w:tab w:val="center" w:pos="4536"/>
        <w:tab w:val="right" w:pos="9072"/>
      </w:tabs>
    </w:pPr>
  </w:style>
  <w:style w:type="character" w:customStyle="1" w:styleId="PieddepageCar">
    <w:name w:val="Pied de page Car"/>
    <w:basedOn w:val="Policepardfaut"/>
    <w:link w:val="Pieddepage"/>
    <w:uiPriority w:val="99"/>
    <w:rsid w:val="009B6E81"/>
    <w:rPr>
      <w:sz w:val="24"/>
      <w:szCs w:val="24"/>
      <w:lang w:eastAsia="fr-FR"/>
    </w:rPr>
  </w:style>
  <w:style w:type="table" w:styleId="Grilledutableau">
    <w:name w:val="Table Grid"/>
    <w:basedOn w:val="TableauNormal"/>
    <w:uiPriority w:val="59"/>
    <w:rsid w:val="00064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353C8"/>
    <w:pPr>
      <w:widowControl w:val="0"/>
      <w:spacing w:after="200" w:line="276" w:lineRule="auto"/>
      <w:ind w:left="720"/>
      <w:contextualSpacing/>
    </w:pPr>
    <w:rPr>
      <w:rFonts w:ascii="Calibri" w:eastAsia="Calibri" w:hAnsi="Calibri"/>
      <w:sz w:val="22"/>
      <w:szCs w:val="22"/>
      <w:lang w:val="en-US" w:eastAsia="en-US"/>
    </w:rPr>
  </w:style>
  <w:style w:type="character" w:customStyle="1" w:styleId="Titre1Car">
    <w:name w:val="Titre 1 Car"/>
    <w:basedOn w:val="Policepardfaut"/>
    <w:link w:val="Titre1"/>
    <w:uiPriority w:val="99"/>
    <w:rsid w:val="00F733BC"/>
    <w:rPr>
      <w:rFonts w:asciiTheme="majorHAnsi" w:hAnsiTheme="majorHAnsi"/>
      <w:b/>
      <w:color w:val="00B5C6"/>
      <w:sz w:val="28"/>
      <w:szCs w:val="28"/>
      <w:lang w:val="fr-FR"/>
    </w:rPr>
  </w:style>
  <w:style w:type="paragraph" w:styleId="Corpsdetexte">
    <w:name w:val="Body Text"/>
    <w:basedOn w:val="Normal"/>
    <w:link w:val="CorpsdetexteCar"/>
    <w:uiPriority w:val="99"/>
    <w:rsid w:val="007353C8"/>
    <w:pPr>
      <w:widowControl w:val="0"/>
      <w:spacing w:before="12"/>
      <w:ind w:left="270"/>
    </w:pPr>
    <w:rPr>
      <w:rFonts w:ascii="Arial" w:eastAsia="Calibri" w:hAnsi="Arial"/>
      <w:i/>
      <w:sz w:val="19"/>
      <w:szCs w:val="19"/>
      <w:lang w:eastAsia="en-US"/>
    </w:rPr>
  </w:style>
  <w:style w:type="character" w:customStyle="1" w:styleId="CorpsdetexteCar">
    <w:name w:val="Corps de texte Car"/>
    <w:basedOn w:val="Policepardfaut"/>
    <w:link w:val="Corpsdetexte"/>
    <w:uiPriority w:val="99"/>
    <w:rsid w:val="007353C8"/>
    <w:rPr>
      <w:rFonts w:ascii="Arial" w:eastAsia="Calibri" w:hAnsi="Arial"/>
      <w:i/>
      <w:sz w:val="19"/>
      <w:szCs w:val="19"/>
      <w:lang w:val="fr-FR" w:eastAsia="en-US"/>
    </w:rPr>
  </w:style>
  <w:style w:type="paragraph" w:customStyle="1" w:styleId="TableParagraph">
    <w:name w:val="Table Paragraph"/>
    <w:basedOn w:val="Normal"/>
    <w:uiPriority w:val="99"/>
    <w:rsid w:val="007353C8"/>
    <w:pPr>
      <w:widowControl w:val="0"/>
    </w:pPr>
    <w:rPr>
      <w:rFonts w:ascii="Calibri" w:eastAsia="Calibri" w:hAnsi="Calibri"/>
      <w:sz w:val="22"/>
      <w:szCs w:val="22"/>
      <w:lang w:eastAsia="en-US"/>
    </w:rPr>
  </w:style>
  <w:style w:type="character" w:styleId="Lienhypertexte">
    <w:name w:val="Hyperlink"/>
    <w:basedOn w:val="Policepardfaut"/>
    <w:uiPriority w:val="99"/>
    <w:unhideWhenUsed/>
    <w:rsid w:val="007353C8"/>
    <w:rPr>
      <w:color w:val="0000FF"/>
      <w:u w:val="single"/>
    </w:rPr>
  </w:style>
  <w:style w:type="character" w:styleId="Lienhypertextesuivivisit">
    <w:name w:val="FollowedHyperlink"/>
    <w:basedOn w:val="Policepardfaut"/>
    <w:uiPriority w:val="99"/>
    <w:semiHidden/>
    <w:unhideWhenUsed/>
    <w:rsid w:val="007353C8"/>
    <w:rPr>
      <w:color w:val="800080"/>
      <w:u w:val="single"/>
    </w:rPr>
  </w:style>
  <w:style w:type="character" w:styleId="Marquedecommentaire">
    <w:name w:val="annotation reference"/>
    <w:basedOn w:val="Policepardfaut"/>
    <w:uiPriority w:val="99"/>
    <w:semiHidden/>
    <w:unhideWhenUsed/>
    <w:rsid w:val="00E70AED"/>
    <w:rPr>
      <w:sz w:val="16"/>
      <w:szCs w:val="16"/>
    </w:rPr>
  </w:style>
  <w:style w:type="paragraph" w:styleId="Commentaire">
    <w:name w:val="annotation text"/>
    <w:basedOn w:val="Normal"/>
    <w:link w:val="CommentaireCar"/>
    <w:uiPriority w:val="99"/>
    <w:semiHidden/>
    <w:unhideWhenUsed/>
    <w:rsid w:val="00E70AED"/>
  </w:style>
  <w:style w:type="character" w:customStyle="1" w:styleId="CommentaireCar">
    <w:name w:val="Commentaire Car"/>
    <w:basedOn w:val="Policepardfaut"/>
    <w:link w:val="Commentaire"/>
    <w:uiPriority w:val="99"/>
    <w:semiHidden/>
    <w:rsid w:val="00E70AED"/>
    <w:rPr>
      <w:lang w:eastAsia="fr-FR"/>
    </w:rPr>
  </w:style>
  <w:style w:type="paragraph" w:styleId="Objetducommentaire">
    <w:name w:val="annotation subject"/>
    <w:basedOn w:val="Commentaire"/>
    <w:next w:val="Commentaire"/>
    <w:link w:val="ObjetducommentaireCar"/>
    <w:uiPriority w:val="99"/>
    <w:semiHidden/>
    <w:unhideWhenUsed/>
    <w:rsid w:val="00E70AED"/>
    <w:rPr>
      <w:b/>
      <w:bCs/>
    </w:rPr>
  </w:style>
  <w:style w:type="character" w:customStyle="1" w:styleId="ObjetducommentaireCar">
    <w:name w:val="Objet du commentaire Car"/>
    <w:basedOn w:val="CommentaireCar"/>
    <w:link w:val="Objetducommentaire"/>
    <w:uiPriority w:val="99"/>
    <w:semiHidden/>
    <w:rsid w:val="00E70AED"/>
    <w:rPr>
      <w:b/>
      <w:bCs/>
      <w:lang w:eastAsia="fr-FR"/>
    </w:rPr>
  </w:style>
  <w:style w:type="character" w:customStyle="1" w:styleId="st">
    <w:name w:val="st"/>
    <w:basedOn w:val="Policepardfaut"/>
    <w:rsid w:val="006B6CEF"/>
  </w:style>
  <w:style w:type="character" w:styleId="Appelnotedebasdep">
    <w:name w:val="footnote reference"/>
    <w:semiHidden/>
    <w:rsid w:val="00B36BDC"/>
    <w:rPr>
      <w:vertAlign w:val="superscript"/>
    </w:rPr>
  </w:style>
  <w:style w:type="paragraph" w:styleId="Notedebasdepage">
    <w:name w:val="footnote text"/>
    <w:basedOn w:val="Normal"/>
    <w:link w:val="NotedebasdepageCar"/>
    <w:uiPriority w:val="99"/>
    <w:semiHidden/>
    <w:unhideWhenUsed/>
    <w:rsid w:val="00CB72AE"/>
  </w:style>
  <w:style w:type="character" w:customStyle="1" w:styleId="NotedebasdepageCar">
    <w:name w:val="Note de bas de page Car"/>
    <w:basedOn w:val="Policepardfaut"/>
    <w:link w:val="Notedebasdepage"/>
    <w:uiPriority w:val="99"/>
    <w:semiHidden/>
    <w:rsid w:val="00CB72AE"/>
    <w:rPr>
      <w:lang w:eastAsia="fr-FR"/>
    </w:rPr>
  </w:style>
  <w:style w:type="character" w:customStyle="1" w:styleId="texte">
    <w:name w:val="texte"/>
    <w:basedOn w:val="Policepardfaut"/>
    <w:rsid w:val="00844E3F"/>
  </w:style>
  <w:style w:type="paragraph" w:styleId="En-ttedetabledesmatires">
    <w:name w:val="TOC Heading"/>
    <w:basedOn w:val="Titre1"/>
    <w:next w:val="Normal"/>
    <w:uiPriority w:val="39"/>
    <w:unhideWhenUsed/>
    <w:qFormat/>
    <w:rsid w:val="00DB6EFA"/>
    <w:pPr>
      <w:keepNext/>
      <w:keepLines/>
      <w:widowControl/>
      <w:spacing w:before="480" w:line="276" w:lineRule="auto"/>
      <w:outlineLvl w:val="9"/>
    </w:pPr>
    <w:rPr>
      <w:rFonts w:eastAsiaTheme="majorEastAsia" w:cstheme="majorBidi"/>
      <w:b w:val="0"/>
      <w:bCs/>
      <w:color w:val="365F91" w:themeColor="accent1" w:themeShade="BF"/>
      <w:lang w:eastAsia="fr-FR"/>
    </w:rPr>
  </w:style>
  <w:style w:type="paragraph" w:styleId="TM1">
    <w:name w:val="toc 1"/>
    <w:basedOn w:val="Normal"/>
    <w:next w:val="Normal"/>
    <w:autoRedefine/>
    <w:uiPriority w:val="39"/>
    <w:unhideWhenUsed/>
    <w:rsid w:val="006762D4"/>
    <w:pPr>
      <w:tabs>
        <w:tab w:val="right" w:leader="dot" w:pos="9061"/>
      </w:tabs>
      <w:spacing w:after="100"/>
    </w:pPr>
    <w:rPr>
      <w:rFonts w:asciiTheme="majorHAnsi" w:hAnsiTheme="majorHAnsi"/>
      <w:noProof/>
    </w:rPr>
  </w:style>
  <w:style w:type="paragraph" w:customStyle="1" w:styleId="Titre21">
    <w:name w:val="Titre 21"/>
    <w:basedOn w:val="Normal"/>
    <w:next w:val="Normal"/>
    <w:uiPriority w:val="9"/>
    <w:semiHidden/>
    <w:unhideWhenUsed/>
    <w:qFormat/>
    <w:rsid w:val="00AE74ED"/>
    <w:pPr>
      <w:keepNext/>
      <w:keepLines/>
      <w:spacing w:before="200" w:line="276" w:lineRule="auto"/>
      <w:outlineLvl w:val="1"/>
    </w:pPr>
    <w:rPr>
      <w:rFonts w:ascii="Cambria" w:eastAsia="Times New Roman" w:hAnsi="Cambria"/>
      <w:b/>
      <w:bCs/>
      <w:color w:val="4F81BD"/>
      <w:sz w:val="26"/>
      <w:szCs w:val="26"/>
      <w:lang w:eastAsia="en-US"/>
    </w:rPr>
  </w:style>
  <w:style w:type="character" w:customStyle="1" w:styleId="Titre3Car">
    <w:name w:val="Titre 3 Car"/>
    <w:basedOn w:val="Policepardfaut"/>
    <w:link w:val="Titre3"/>
    <w:uiPriority w:val="9"/>
    <w:rsid w:val="00AE74ED"/>
    <w:rPr>
      <w:rFonts w:eastAsia="Times New Roman"/>
      <w:b/>
      <w:bCs/>
      <w:sz w:val="27"/>
      <w:szCs w:val="27"/>
      <w:lang w:val="fr-FR" w:eastAsia="fr-FR"/>
    </w:rPr>
  </w:style>
  <w:style w:type="numbering" w:customStyle="1" w:styleId="Aucuneliste1">
    <w:name w:val="Aucune liste1"/>
    <w:next w:val="Aucuneliste"/>
    <w:uiPriority w:val="99"/>
    <w:semiHidden/>
    <w:unhideWhenUsed/>
    <w:rsid w:val="00AE74ED"/>
  </w:style>
  <w:style w:type="character" w:customStyle="1" w:styleId="Titre2Car">
    <w:name w:val="Titre 2 Car"/>
    <w:basedOn w:val="Policepardfaut"/>
    <w:link w:val="Titre2"/>
    <w:uiPriority w:val="9"/>
    <w:rsid w:val="0054342D"/>
    <w:rPr>
      <w:rFonts w:ascii="Calibri" w:eastAsia="Times New Roman" w:hAnsi="Calibri"/>
      <w:b/>
      <w:bCs/>
      <w:color w:val="00B5C6"/>
      <w:sz w:val="44"/>
      <w:szCs w:val="26"/>
      <w:lang w:val="en-US" w:eastAsia="en-US"/>
    </w:rPr>
  </w:style>
  <w:style w:type="table" w:customStyle="1" w:styleId="Grilledutableau1">
    <w:name w:val="Grille du tableau1"/>
    <w:basedOn w:val="TableauNormal"/>
    <w:next w:val="Grilledutableau"/>
    <w:uiPriority w:val="59"/>
    <w:rsid w:val="00AE74E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AE74ED"/>
    <w:rPr>
      <w:b/>
      <w:bCs/>
    </w:rPr>
  </w:style>
  <w:style w:type="character" w:customStyle="1" w:styleId="nornature">
    <w:name w:val="nor_nature"/>
    <w:basedOn w:val="Policepardfaut"/>
    <w:rsid w:val="00AE74ED"/>
  </w:style>
  <w:style w:type="character" w:customStyle="1" w:styleId="Titre2Car1">
    <w:name w:val="Titre 2 Car1"/>
    <w:basedOn w:val="Policepardfaut"/>
    <w:uiPriority w:val="9"/>
    <w:semiHidden/>
    <w:rsid w:val="00AE74ED"/>
    <w:rPr>
      <w:rFonts w:asciiTheme="majorHAnsi" w:eastAsiaTheme="majorEastAsia" w:hAnsiTheme="majorHAnsi" w:cstheme="majorBidi"/>
      <w:b/>
      <w:bCs/>
      <w:color w:val="4F81BD" w:themeColor="accent1"/>
      <w:sz w:val="26"/>
      <w:szCs w:val="26"/>
      <w:lang w:eastAsia="fr-FR"/>
    </w:rPr>
  </w:style>
  <w:style w:type="paragraph" w:styleId="TM2">
    <w:name w:val="toc 2"/>
    <w:basedOn w:val="Normal"/>
    <w:next w:val="Normal"/>
    <w:autoRedefine/>
    <w:uiPriority w:val="39"/>
    <w:unhideWhenUsed/>
    <w:rsid w:val="00C65962"/>
    <w:pPr>
      <w:tabs>
        <w:tab w:val="left" w:pos="660"/>
        <w:tab w:val="right" w:leader="dot" w:pos="9061"/>
      </w:tabs>
      <w:spacing w:after="100"/>
      <w:ind w:left="240"/>
    </w:pPr>
    <w:rPr>
      <w:rFonts w:asciiTheme="majorHAnsi" w:hAnsiTheme="majorHAnsi"/>
      <w:noProof/>
      <w:color w:val="7F7F7F" w:themeColor="text1" w:themeTint="80"/>
    </w:rPr>
  </w:style>
  <w:style w:type="paragraph" w:styleId="TM3">
    <w:name w:val="toc 3"/>
    <w:basedOn w:val="Normal"/>
    <w:next w:val="Normal"/>
    <w:autoRedefine/>
    <w:uiPriority w:val="39"/>
    <w:unhideWhenUsed/>
    <w:rsid w:val="00E76FBE"/>
    <w:pPr>
      <w:spacing w:after="100"/>
      <w:ind w:left="480"/>
    </w:pPr>
  </w:style>
  <w:style w:type="paragraph" w:styleId="Sansinterligne">
    <w:name w:val="No Spacing"/>
    <w:uiPriority w:val="1"/>
    <w:qFormat/>
    <w:rsid w:val="001F48B7"/>
  </w:style>
  <w:style w:type="table" w:customStyle="1" w:styleId="Grilledutableau2">
    <w:name w:val="Grille du tableau2"/>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D867E9"/>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16895">
      <w:bodyDiv w:val="1"/>
      <w:marLeft w:val="0"/>
      <w:marRight w:val="0"/>
      <w:marTop w:val="0"/>
      <w:marBottom w:val="0"/>
      <w:divBdr>
        <w:top w:val="none" w:sz="0" w:space="0" w:color="auto"/>
        <w:left w:val="none" w:sz="0" w:space="0" w:color="auto"/>
        <w:bottom w:val="none" w:sz="0" w:space="0" w:color="auto"/>
        <w:right w:val="none" w:sz="0" w:space="0" w:color="auto"/>
      </w:divBdr>
    </w:div>
    <w:div w:id="152913744">
      <w:bodyDiv w:val="1"/>
      <w:marLeft w:val="0"/>
      <w:marRight w:val="0"/>
      <w:marTop w:val="0"/>
      <w:marBottom w:val="0"/>
      <w:divBdr>
        <w:top w:val="none" w:sz="0" w:space="0" w:color="auto"/>
        <w:left w:val="none" w:sz="0" w:space="0" w:color="auto"/>
        <w:bottom w:val="none" w:sz="0" w:space="0" w:color="auto"/>
        <w:right w:val="none" w:sz="0" w:space="0" w:color="auto"/>
      </w:divBdr>
    </w:div>
    <w:div w:id="315840878">
      <w:bodyDiv w:val="1"/>
      <w:marLeft w:val="0"/>
      <w:marRight w:val="0"/>
      <w:marTop w:val="0"/>
      <w:marBottom w:val="0"/>
      <w:divBdr>
        <w:top w:val="none" w:sz="0" w:space="0" w:color="auto"/>
        <w:left w:val="none" w:sz="0" w:space="0" w:color="auto"/>
        <w:bottom w:val="none" w:sz="0" w:space="0" w:color="auto"/>
        <w:right w:val="none" w:sz="0" w:space="0" w:color="auto"/>
      </w:divBdr>
    </w:div>
    <w:div w:id="577207982">
      <w:bodyDiv w:val="1"/>
      <w:marLeft w:val="0"/>
      <w:marRight w:val="0"/>
      <w:marTop w:val="0"/>
      <w:marBottom w:val="0"/>
      <w:divBdr>
        <w:top w:val="none" w:sz="0" w:space="0" w:color="auto"/>
        <w:left w:val="none" w:sz="0" w:space="0" w:color="auto"/>
        <w:bottom w:val="none" w:sz="0" w:space="0" w:color="auto"/>
        <w:right w:val="none" w:sz="0" w:space="0" w:color="auto"/>
      </w:divBdr>
    </w:div>
    <w:div w:id="620454269">
      <w:bodyDiv w:val="1"/>
      <w:marLeft w:val="0"/>
      <w:marRight w:val="0"/>
      <w:marTop w:val="0"/>
      <w:marBottom w:val="0"/>
      <w:divBdr>
        <w:top w:val="none" w:sz="0" w:space="0" w:color="auto"/>
        <w:left w:val="none" w:sz="0" w:space="0" w:color="auto"/>
        <w:bottom w:val="none" w:sz="0" w:space="0" w:color="auto"/>
        <w:right w:val="none" w:sz="0" w:space="0" w:color="auto"/>
      </w:divBdr>
    </w:div>
    <w:div w:id="1415785352">
      <w:bodyDiv w:val="1"/>
      <w:marLeft w:val="0"/>
      <w:marRight w:val="0"/>
      <w:marTop w:val="0"/>
      <w:marBottom w:val="0"/>
      <w:divBdr>
        <w:top w:val="none" w:sz="0" w:space="0" w:color="auto"/>
        <w:left w:val="none" w:sz="0" w:space="0" w:color="auto"/>
        <w:bottom w:val="none" w:sz="0" w:space="0" w:color="auto"/>
        <w:right w:val="none" w:sz="0" w:space="0" w:color="auto"/>
      </w:divBdr>
    </w:div>
    <w:div w:id="1437287764">
      <w:bodyDiv w:val="1"/>
      <w:marLeft w:val="0"/>
      <w:marRight w:val="0"/>
      <w:marTop w:val="0"/>
      <w:marBottom w:val="0"/>
      <w:divBdr>
        <w:top w:val="none" w:sz="0" w:space="0" w:color="auto"/>
        <w:left w:val="none" w:sz="0" w:space="0" w:color="auto"/>
        <w:bottom w:val="none" w:sz="0" w:space="0" w:color="auto"/>
        <w:right w:val="none" w:sz="0" w:space="0" w:color="auto"/>
      </w:divBdr>
    </w:div>
    <w:div w:id="1937706947">
      <w:bodyDiv w:val="1"/>
      <w:marLeft w:val="0"/>
      <w:marRight w:val="0"/>
      <w:marTop w:val="0"/>
      <w:marBottom w:val="0"/>
      <w:divBdr>
        <w:top w:val="none" w:sz="0" w:space="0" w:color="auto"/>
        <w:left w:val="none" w:sz="0" w:space="0" w:color="auto"/>
        <w:bottom w:val="none" w:sz="0" w:space="0" w:color="auto"/>
        <w:right w:val="none" w:sz="0" w:space="0" w:color="auto"/>
      </w:divBdr>
    </w:div>
    <w:div w:id="2004041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file:///C:\Users\Utilisateur\Pictures\qualeduc\visuel_Qualeduc_4_violet.jpg"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52774-EF1D-429D-8BB8-603D09E92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886</Words>
  <Characters>4878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 MEN</dc:creator>
  <cp:lastModifiedBy>Annick BONNET</cp:lastModifiedBy>
  <cp:revision>2</cp:revision>
  <cp:lastPrinted>2019-03-29T09:59:00Z</cp:lastPrinted>
  <dcterms:created xsi:type="dcterms:W3CDTF">2019-10-02T15:20:00Z</dcterms:created>
  <dcterms:modified xsi:type="dcterms:W3CDTF">2019-10-02T15:20:00Z</dcterms:modified>
</cp:coreProperties>
</file>