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9EB73" w14:textId="77777777" w:rsidR="00676C79" w:rsidRDefault="00676C79">
      <w:pPr>
        <w:pStyle w:val="Sous-titre"/>
      </w:pPr>
      <w:r w:rsidRPr="00676C79">
        <w:rPr>
          <w:rFonts w:eastAsia="Cambria" w:cs="Calibri"/>
          <w:sz w:val="20"/>
          <w:szCs w:val="22"/>
        </w:rPr>
        <w:drawing>
          <wp:inline distT="0" distB="0" distL="0" distR="0" wp14:anchorId="2AE15984" wp14:editId="3E458592">
            <wp:extent cx="6178006" cy="257260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218404" cy="2589425"/>
                    </a:xfrm>
                    <a:prstGeom prst="rect">
                      <a:avLst/>
                    </a:prstGeom>
                  </pic:spPr>
                </pic:pic>
              </a:graphicData>
            </a:graphic>
          </wp:inline>
        </w:drawing>
      </w:r>
    </w:p>
    <w:p w14:paraId="76BDB6A1" w14:textId="6C2A21B6" w:rsidR="0011119A" w:rsidRDefault="00676C79" w:rsidP="00676C79">
      <w:pPr>
        <w:pStyle w:val="Titredudocument"/>
        <w:jc w:val="center"/>
      </w:pPr>
      <w:r w:rsidRPr="00676C79">
        <w:t>É</w:t>
      </w:r>
      <w:r w:rsidR="001051AE">
        <w:t>léments de correction</w:t>
      </w:r>
    </w:p>
    <w:p w14:paraId="67143B77" w14:textId="1DE25159" w:rsidR="0011119A" w:rsidRPr="00676C79" w:rsidRDefault="001051AE" w:rsidP="00676C79">
      <w:pPr>
        <w:pStyle w:val="Titre1"/>
      </w:pPr>
      <w:r w:rsidRPr="00676C79">
        <w:t>Séance 1 </w:t>
      </w:r>
      <w:r w:rsidR="00E765A6">
        <w:t>-</w:t>
      </w:r>
      <w:r w:rsidRPr="00676C79">
        <w:t xml:space="preserve"> Dynamiques </w:t>
      </w:r>
      <w:r w:rsidRPr="00E765A6">
        <w:t>territoriales</w:t>
      </w:r>
      <w:r w:rsidRPr="00676C79">
        <w:t xml:space="preserve"> et démographiques</w:t>
      </w:r>
    </w:p>
    <w:p w14:paraId="0E3A4389" w14:textId="4CDE077C" w:rsidR="0011119A" w:rsidRDefault="001051AE">
      <w:pPr>
        <w:pStyle w:val="Titre2"/>
      </w:pPr>
      <w:r>
        <w:t>Activité 1 </w:t>
      </w:r>
      <w:r w:rsidR="00E765A6">
        <w:t>-</w:t>
      </w:r>
      <w:r>
        <w:t xml:space="preserve"> Identifier les types de territoires auxquels appartiennent Agen et Nérac</w:t>
      </w:r>
    </w:p>
    <w:p w14:paraId="6C3DA98C" w14:textId="77777777" w:rsidR="0011119A" w:rsidRDefault="001051AE">
      <w:pPr>
        <w:pStyle w:val="Paragraphedeliste"/>
        <w:numPr>
          <w:ilvl w:val="0"/>
          <w:numId w:val="20"/>
        </w:numPr>
        <w:spacing w:after="60"/>
        <w:ind w:left="357" w:hanging="357"/>
        <w:contextualSpacing w:val="0"/>
      </w:pPr>
      <w:r>
        <w:rPr>
          <w:b/>
          <w:bCs/>
        </w:rPr>
        <w:t>Relever le nombre d’habitants dans les communes d’Agen et de Nérac.</w:t>
      </w:r>
    </w:p>
    <w:p w14:paraId="149E4457" w14:textId="77777777" w:rsidR="0011119A" w:rsidRDefault="001051AE" w:rsidP="00676C79">
      <w:pPr>
        <w:pStyle w:val="Paragraphedeliste"/>
        <w:numPr>
          <w:ilvl w:val="0"/>
          <w:numId w:val="0"/>
        </w:numPr>
        <w:spacing w:before="100" w:beforeAutospacing="1" w:after="120"/>
        <w:ind w:left="351" w:hanging="357"/>
        <w:contextualSpacing w:val="0"/>
      </w:pPr>
      <w:r>
        <w:t>Agen : 32 193 habitants en 2022</w:t>
      </w:r>
    </w:p>
    <w:p w14:paraId="16B0876A" w14:textId="77777777" w:rsidR="0011119A" w:rsidRDefault="001051AE" w:rsidP="00676C79">
      <w:pPr>
        <w:pStyle w:val="Paragraphedeliste"/>
        <w:numPr>
          <w:ilvl w:val="0"/>
          <w:numId w:val="0"/>
        </w:numPr>
        <w:spacing w:before="120" w:after="100" w:afterAutospacing="1"/>
        <w:ind w:left="351" w:hanging="357"/>
        <w:contextualSpacing w:val="0"/>
      </w:pPr>
      <w:r>
        <w:t>Nérac : 6 937 habitants en 2022</w:t>
      </w:r>
    </w:p>
    <w:p w14:paraId="0D479DC4" w14:textId="77777777" w:rsidR="0011119A" w:rsidRDefault="001051AE">
      <w:pPr>
        <w:pStyle w:val="Paragraphedeliste"/>
        <w:numPr>
          <w:ilvl w:val="0"/>
          <w:numId w:val="6"/>
        </w:numPr>
        <w:spacing w:after="60"/>
        <w:ind w:left="357" w:hanging="357"/>
        <w:contextualSpacing w:val="0"/>
      </w:pPr>
      <w:r>
        <w:rPr>
          <w:b/>
          <w:bCs/>
        </w:rPr>
        <w:t xml:space="preserve">Identifier à quels types de communes </w:t>
      </w:r>
      <w:proofErr w:type="gramStart"/>
      <w:r>
        <w:rPr>
          <w:b/>
          <w:bCs/>
        </w:rPr>
        <w:t>appartiennent</w:t>
      </w:r>
      <w:proofErr w:type="gramEnd"/>
      <w:r>
        <w:rPr>
          <w:b/>
          <w:bCs/>
        </w:rPr>
        <w:t xml:space="preserve"> ces deux villes.</w:t>
      </w:r>
    </w:p>
    <w:p w14:paraId="0F7C1AC8" w14:textId="77777777" w:rsidR="0011119A" w:rsidRDefault="001051AE" w:rsidP="00676C79">
      <w:pPr>
        <w:pStyle w:val="Paragraphedeliste"/>
        <w:numPr>
          <w:ilvl w:val="0"/>
          <w:numId w:val="0"/>
        </w:numPr>
        <w:spacing w:before="100" w:beforeAutospacing="1" w:after="60"/>
        <w:ind w:left="351" w:hanging="357"/>
        <w:contextualSpacing w:val="0"/>
      </w:pPr>
      <w:r>
        <w:t>Agen est une commune de type « urbain intermédiaire », de niveau 2.</w:t>
      </w:r>
    </w:p>
    <w:p w14:paraId="271C3570" w14:textId="77777777" w:rsidR="0011119A" w:rsidRDefault="001051AE" w:rsidP="00676C79">
      <w:pPr>
        <w:pStyle w:val="Paragraphedeliste"/>
        <w:numPr>
          <w:ilvl w:val="0"/>
          <w:numId w:val="0"/>
        </w:numPr>
        <w:spacing w:after="100" w:afterAutospacing="1"/>
        <w:ind w:left="351" w:hanging="357"/>
        <w:contextualSpacing w:val="0"/>
      </w:pPr>
      <w:r>
        <w:t>Nérac est une commune de type « rural », de niveau 3.</w:t>
      </w:r>
    </w:p>
    <w:p w14:paraId="003AC7CF" w14:textId="77777777" w:rsidR="0011119A" w:rsidRDefault="001051AE">
      <w:pPr>
        <w:pStyle w:val="Paragraphedeliste"/>
        <w:numPr>
          <w:ilvl w:val="0"/>
          <w:numId w:val="6"/>
        </w:numPr>
        <w:spacing w:after="60"/>
        <w:ind w:left="357" w:hanging="357"/>
        <w:contextualSpacing w:val="0"/>
      </w:pPr>
      <w:r>
        <w:rPr>
          <w:b/>
          <w:bCs/>
        </w:rPr>
        <w:t>À l’aide de la grille de densité au 1</w:t>
      </w:r>
      <w:r>
        <w:rPr>
          <w:b/>
          <w:bCs/>
          <w:vertAlign w:val="superscript"/>
        </w:rPr>
        <w:t>er</w:t>
      </w:r>
      <w:r>
        <w:rPr>
          <w:b/>
          <w:bCs/>
        </w:rPr>
        <w:t xml:space="preserve"> janvier 2025 (feuille de calcul téléchargée), repérer dans quel autre type de commune lot-et-garonnaise Lucas pourrait envisager de s’installer. Justifier la réponse et citer des exemples de communes.</w:t>
      </w:r>
    </w:p>
    <w:p w14:paraId="6A0FF390" w14:textId="04F675AE" w:rsidR="0011119A" w:rsidRDefault="001051AE" w:rsidP="00676C79">
      <w:pPr>
        <w:pStyle w:val="Paragraphedeliste"/>
        <w:numPr>
          <w:ilvl w:val="0"/>
          <w:numId w:val="0"/>
        </w:numPr>
        <w:spacing w:before="100" w:beforeAutospacing="1" w:after="100" w:afterAutospacing="1"/>
        <w:contextualSpacing w:val="0"/>
      </w:pPr>
      <w:r>
        <w:t>Après avoir croisé le niveau 3 de la grille (le rural) avec le zonage en aire d’attraction des villes, (densité croisée avec AAV), Lucas pourrait choisir de s’installer dans une commune de type « rural périurbain » comme Casseneuil (2 340 habitants), située dans l’aire d’attraction d’une autre ville de type « urbain intermédiaire » (Villeneuve- sur-Lot), Virazeil, (1 696 habitants), située dans l’aire d’attraction d’une autre ville de type « urbain intermédiaire » (Marmande).</w:t>
      </w:r>
    </w:p>
    <w:p w14:paraId="18475A79" w14:textId="77777777" w:rsidR="00676C79" w:rsidRDefault="00676C79">
      <w:pPr>
        <w:widowControl w:val="0"/>
        <w:autoSpaceDN w:val="0"/>
        <w:spacing w:after="0" w:line="240" w:lineRule="auto"/>
        <w:textAlignment w:val="baseline"/>
        <w:rPr>
          <w:rFonts w:ascii="Marianne" w:hAnsi="Marianne"/>
          <w:b/>
          <w:color w:val="22557A"/>
        </w:rPr>
      </w:pPr>
      <w:r>
        <w:br w:type="page"/>
      </w:r>
    </w:p>
    <w:p w14:paraId="00FFD155" w14:textId="7B2BFDE2" w:rsidR="0011119A" w:rsidRDefault="001051AE">
      <w:pPr>
        <w:pStyle w:val="Encadrdocumenttitre"/>
      </w:pPr>
      <w:r>
        <w:lastRenderedPageBreak/>
        <w:t>Schéma </w:t>
      </w:r>
      <w:r w:rsidR="00E765A6">
        <w:t>-</w:t>
      </w:r>
      <w:r>
        <w:t xml:space="preserve"> Espaces et mobilités dans l’espace urbain d’Agen</w:t>
      </w:r>
    </w:p>
    <w:p w14:paraId="710E4899" w14:textId="28C3F838" w:rsidR="0011119A" w:rsidRDefault="00F45667" w:rsidP="00676C79">
      <w:pPr>
        <w:pStyle w:val="Encadrdocument"/>
        <w:spacing w:after="120"/>
      </w:pPr>
      <w:r>
        <w:rPr>
          <w:noProof/>
        </w:rPr>
        <w:drawing>
          <wp:inline distT="0" distB="0" distL="0" distR="0" wp14:anchorId="5412D6E7" wp14:editId="186F5A10">
            <wp:extent cx="5878263" cy="2450592"/>
            <wp:effectExtent l="0" t="0" r="8255" b="6985"/>
            <wp:docPr id="11" name="Image 11" descr="Schéma cartographique représentant l’aire urbaine d’Agen. Le centre-ville est entouré d’une banlieue, puis d’une couronne périurbaine et d’espaces ruraux. Des flèches rouges indiquent les mobilités quotidiennes entre les communes périphériques et le pôle urbain d’Agen. Des flèches violettes représentent les axes de transport reliant Agen à plusieurs villes voisines comme Nérac, Marmande, Villeneuve-sur-Lot, Cahors et Toul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Schéma cartographique représentant l’aire urbaine d’Agen. Le centre-ville est entouré d’une banlieue, puis d’une couronne périurbaine et d’espaces ruraux. Des flèches rouges indiquent les mobilités quotidiennes entre les communes périphériques et le pôle urbain d’Agen. Des flèches violettes représentent les axes de transport reliant Agen à plusieurs villes voisines comme Nérac, Marmande, Villeneuve-sur-Lot, Cahors et Toulou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8263" cy="2450592"/>
                    </a:xfrm>
                    <a:prstGeom prst="rect">
                      <a:avLst/>
                    </a:prstGeom>
                    <a:noFill/>
                  </pic:spPr>
                </pic:pic>
              </a:graphicData>
            </a:graphic>
          </wp:inline>
        </w:drawing>
      </w:r>
    </w:p>
    <w:p w14:paraId="50BC8039" w14:textId="4D502B0B" w:rsidR="0011119A" w:rsidRDefault="001051AE">
      <w:pPr>
        <w:pStyle w:val="Titre2"/>
      </w:pPr>
      <w:r>
        <w:t>Activité 2 </w:t>
      </w:r>
      <w:r w:rsidR="00E765A6">
        <w:t>-</w:t>
      </w:r>
      <w:r>
        <w:t xml:space="preserve"> Analyse comparée de l’évolution et de la structure de la population</w:t>
      </w:r>
    </w:p>
    <w:p w14:paraId="6A8FEA2A" w14:textId="5117F6F6" w:rsidR="0011119A" w:rsidRDefault="008C4D62">
      <w:pPr>
        <w:pStyle w:val="Paragraphedeliste"/>
        <w:numPr>
          <w:ilvl w:val="0"/>
          <w:numId w:val="21"/>
        </w:numPr>
        <w:spacing w:after="60"/>
        <w:ind w:left="357" w:hanging="357"/>
        <w:contextualSpacing w:val="0"/>
      </w:pPr>
      <w:r w:rsidRPr="008C4D62">
        <w:rPr>
          <w:b/>
          <w:bCs/>
        </w:rPr>
        <w:t>Construire deux pyramides des âges (une pour Agen, une pour Nérac) comportant uniquement 7 classes d’âge, à partir des données de la population par sexe et âge (document 4) et en s’appuyant sur l’exemple de la pyramide des âges (document 5). Choisir 3 cm pour représenter une tranche d’âge sur l’axe vertical et 1 cm pour représenter 100 personnes sur l’axe horizontal</w:t>
      </w:r>
      <w:r w:rsidR="001051AE">
        <w:rPr>
          <w:b/>
          <w:bCs/>
        </w:rPr>
        <w:t>.</w:t>
      </w:r>
    </w:p>
    <w:p w14:paraId="2E1736D5" w14:textId="77777777" w:rsidR="0011119A" w:rsidRDefault="001051AE" w:rsidP="00676C79">
      <w:pPr>
        <w:pStyle w:val="Paragraphedeliste"/>
        <w:numPr>
          <w:ilvl w:val="0"/>
          <w:numId w:val="0"/>
        </w:numPr>
        <w:spacing w:before="100" w:beforeAutospacing="1" w:after="60"/>
        <w:ind w:left="357" w:hanging="360"/>
        <w:contextualSpacing w:val="0"/>
        <w:jc w:val="center"/>
      </w:pPr>
      <w:r>
        <w:rPr>
          <w:noProof/>
          <w:sz w:val="16"/>
          <w:szCs w:val="16"/>
        </w:rPr>
        <w:drawing>
          <wp:inline distT="0" distB="0" distL="0" distR="0" wp14:anchorId="75E3ABB6" wp14:editId="152C5194">
            <wp:extent cx="4520689" cy="3063923"/>
            <wp:effectExtent l="0" t="0" r="0" b="3175"/>
            <wp:docPr id="2" name="Image 1" descr="Pyramide des âges présentant la population de Nérac selon le sexe et les classes d’âge. Les hommes sont représentés à gauche et les femmes à droite. La structure montre une forte proportion de personnes âgées de 60 ans et plus ainsi qu’une part relativement faible de jeunes adultes. Après 65 ans, les femmes sont plus nombreuses que les hommes"/>
            <wp:cNvGraphicFramePr/>
            <a:graphic xmlns:a="http://schemas.openxmlformats.org/drawingml/2006/main">
              <a:graphicData uri="http://schemas.openxmlformats.org/drawingml/2006/picture">
                <pic:pic xmlns:pic="http://schemas.openxmlformats.org/drawingml/2006/picture">
                  <pic:nvPicPr>
                    <pic:cNvPr id="2" name="Image 1" descr="Pyramide des âges présentant la population de Nérac selon le sexe et les classes d’âge. Les hommes sont représentés à gauche et les femmes à droite. La structure montre une forte proportion de personnes âgées de 60 ans et plus ainsi qu’une part relativement faible de jeunes adultes. Après 65 ans, les femmes sont plus nombreuses que les hommes"/>
                    <pic:cNvPicPr/>
                  </pic:nvPicPr>
                  <pic:blipFill>
                    <a:blip r:embed="rId9">
                      <a:lum/>
                      <a:alphaModFix/>
                    </a:blip>
                    <a:srcRect/>
                    <a:stretch>
                      <a:fillRect/>
                    </a:stretch>
                  </pic:blipFill>
                  <pic:spPr>
                    <a:xfrm>
                      <a:off x="0" y="0"/>
                      <a:ext cx="4538866" cy="3076243"/>
                    </a:xfrm>
                    <a:prstGeom prst="rect">
                      <a:avLst/>
                    </a:prstGeom>
                    <a:noFill/>
                    <a:ln>
                      <a:noFill/>
                      <a:prstDash/>
                    </a:ln>
                  </pic:spPr>
                </pic:pic>
              </a:graphicData>
            </a:graphic>
          </wp:inline>
        </w:drawing>
      </w:r>
    </w:p>
    <w:p w14:paraId="4B9F6098" w14:textId="6EE104D1" w:rsidR="0011119A" w:rsidRDefault="009129A2" w:rsidP="00676C79">
      <w:pPr>
        <w:pStyle w:val="Paragraphedeliste"/>
        <w:numPr>
          <w:ilvl w:val="0"/>
          <w:numId w:val="0"/>
        </w:numPr>
        <w:spacing w:after="100" w:afterAutospacing="1"/>
        <w:ind w:left="357" w:hanging="360"/>
        <w:contextualSpacing w:val="0"/>
        <w:rPr>
          <w:i/>
          <w:iCs/>
          <w:sz w:val="18"/>
          <w:szCs w:val="18"/>
        </w:rPr>
      </w:pPr>
      <w:r>
        <w:rPr>
          <w:i/>
          <w:iCs/>
          <w:sz w:val="18"/>
          <w:szCs w:val="18"/>
        </w:rPr>
        <w:t xml:space="preserve">Remarque : </w:t>
      </w:r>
      <w:r w:rsidR="001051AE">
        <w:rPr>
          <w:i/>
          <w:iCs/>
          <w:sz w:val="18"/>
          <w:szCs w:val="18"/>
        </w:rPr>
        <w:t xml:space="preserve"> La pyramide</w:t>
      </w:r>
      <w:r>
        <w:rPr>
          <w:i/>
          <w:iCs/>
          <w:sz w:val="18"/>
          <w:szCs w:val="18"/>
        </w:rPr>
        <w:t>, issue du site de l’Insee,</w:t>
      </w:r>
      <w:r w:rsidR="001051AE">
        <w:rPr>
          <w:i/>
          <w:iCs/>
          <w:sz w:val="18"/>
          <w:szCs w:val="18"/>
        </w:rPr>
        <w:t xml:space="preserve"> est ici fournie avec 21 classes, mais 7 classes sont suffisantes.</w:t>
      </w:r>
    </w:p>
    <w:p w14:paraId="6D6151AB" w14:textId="77777777" w:rsidR="0011119A" w:rsidRDefault="001051AE">
      <w:pPr>
        <w:pStyle w:val="Paragraphedeliste"/>
        <w:numPr>
          <w:ilvl w:val="0"/>
          <w:numId w:val="7"/>
        </w:numPr>
        <w:spacing w:after="60"/>
        <w:ind w:left="357" w:hanging="357"/>
        <w:contextualSpacing w:val="0"/>
      </w:pPr>
      <w:r>
        <w:rPr>
          <w:b/>
          <w:bCs/>
        </w:rPr>
        <w:t>Comparer la forme des deux pyramides. Déduire de cette comparaison des conclusions sur la structure de ces deux populations.</w:t>
      </w:r>
    </w:p>
    <w:p w14:paraId="4986F499" w14:textId="77777777" w:rsidR="0011119A" w:rsidRDefault="001051AE" w:rsidP="00676C79">
      <w:pPr>
        <w:pStyle w:val="Paragraphedeliste"/>
        <w:numPr>
          <w:ilvl w:val="0"/>
          <w:numId w:val="0"/>
        </w:numPr>
        <w:spacing w:before="100" w:beforeAutospacing="1" w:after="100" w:afterAutospacing="1"/>
        <w:contextualSpacing w:val="0"/>
      </w:pPr>
      <w:r>
        <w:t>La population de Nérac est une population vieillissante : 40 % de la population a 60 ans ou plus, contre 25,5 % à Agen ; les moins de 30 ans représentent 26,3 % de la population, contre 40 % à Agen…</w:t>
      </w:r>
    </w:p>
    <w:p w14:paraId="59626593" w14:textId="77777777" w:rsidR="0011119A" w:rsidRDefault="001051AE">
      <w:pPr>
        <w:pStyle w:val="Paragraphedeliste"/>
        <w:numPr>
          <w:ilvl w:val="0"/>
          <w:numId w:val="7"/>
        </w:numPr>
        <w:spacing w:after="60"/>
        <w:ind w:left="357" w:hanging="357"/>
        <w:contextualSpacing w:val="0"/>
      </w:pPr>
      <w:r>
        <w:rPr>
          <w:b/>
          <w:bCs/>
        </w:rPr>
        <w:lastRenderedPageBreak/>
        <w:t>Identifier s’il y a symétrie entre les hommes et les femmes dans chacune des pyramides. Sinon, repérer et préciser où se situent les différences.</w:t>
      </w:r>
    </w:p>
    <w:p w14:paraId="2EDFA9FF" w14:textId="5BC335A1" w:rsidR="0011119A" w:rsidRDefault="001051AE" w:rsidP="00676C79">
      <w:pPr>
        <w:pStyle w:val="Paragraphedeliste"/>
        <w:numPr>
          <w:ilvl w:val="0"/>
          <w:numId w:val="0"/>
        </w:numPr>
        <w:spacing w:before="100" w:beforeAutospacing="1" w:after="100" w:afterAutospacing="1"/>
        <w:contextualSpacing w:val="0"/>
      </w:pPr>
      <w:r>
        <w:t>Il y a quasiment symétrie entre les hommes et les femmes dans chacune des pyramides jusqu’à la tranche de 60 à 64 ans ; après 64 ans, la part des femmes est supérieure à celle des hommes et cet écart s’accroît encore dans les tranches d’âge supérieures.</w:t>
      </w:r>
    </w:p>
    <w:p w14:paraId="55895D33" w14:textId="77777777" w:rsidR="0011119A" w:rsidRDefault="001051AE">
      <w:pPr>
        <w:pStyle w:val="Paragraphedeliste"/>
        <w:numPr>
          <w:ilvl w:val="0"/>
          <w:numId w:val="7"/>
        </w:numPr>
        <w:spacing w:after="120"/>
        <w:ind w:left="357" w:hanging="357"/>
        <w:contextualSpacing w:val="0"/>
      </w:pPr>
      <w:r>
        <w:rPr>
          <w:b/>
          <w:bCs/>
        </w:rPr>
        <w:t>À l’aide des trois documents, formuler les premières hypothèses concernant les besoins de ces deux populations dans le domaine des services à la personne (garde d’enfants ; ménage/repassage ; bricolage/jardinage ; aide aux séniors/livraison de repas/aide handicap/téléassistance…) ?</w:t>
      </w:r>
    </w:p>
    <w:p w14:paraId="11C944E6" w14:textId="77777777" w:rsidR="0011119A" w:rsidRDefault="001051AE" w:rsidP="00676C79">
      <w:pPr>
        <w:pStyle w:val="Paragraphedeliste"/>
        <w:numPr>
          <w:ilvl w:val="0"/>
          <w:numId w:val="0"/>
        </w:numPr>
        <w:spacing w:before="100" w:beforeAutospacing="1" w:after="100" w:afterAutospacing="1"/>
        <w:contextualSpacing w:val="0"/>
      </w:pPr>
      <w:r>
        <w:t>Réponses personnelles des élèves. Les hypothèses pourront-être présentées sous forme d’un tableau comparatif afin de mettre en évidence les besoins communs et les différences entre les deux populations. Ces besoins peuvent notamment découler de l’analyse du document 6.</w:t>
      </w:r>
    </w:p>
    <w:p w14:paraId="7164D716" w14:textId="0DF9150F" w:rsidR="0011119A" w:rsidRDefault="001051AE">
      <w:pPr>
        <w:pStyle w:val="Titre2"/>
      </w:pPr>
      <w:r w:rsidRPr="00C56D03">
        <w:rPr>
          <w:sz w:val="24"/>
          <w:szCs w:val="24"/>
        </w:rPr>
        <w:t>Activité 3 </w:t>
      </w:r>
      <w:r w:rsidR="00E765A6">
        <w:rPr>
          <w:sz w:val="24"/>
          <w:szCs w:val="24"/>
        </w:rPr>
        <w:t>-</w:t>
      </w:r>
      <w:r w:rsidRPr="00C56D03">
        <w:rPr>
          <w:sz w:val="24"/>
          <w:szCs w:val="24"/>
        </w:rPr>
        <w:t xml:space="preserve"> </w:t>
      </w:r>
      <w:r w:rsidRPr="00C56D03">
        <w:t>Synthèse argumentée des choix qui s’offrent à Lucas</w:t>
      </w:r>
    </w:p>
    <w:p w14:paraId="449C5549" w14:textId="77777777" w:rsidR="0011119A" w:rsidRDefault="001051AE" w:rsidP="00A445D8">
      <w:pPr>
        <w:pStyle w:val="Standard"/>
        <w:spacing w:after="0"/>
      </w:pPr>
      <w:r>
        <w:rPr>
          <w:b/>
          <w:bCs/>
        </w:rPr>
        <w:t>Le professeur propose aux élèves de rédiger un texte argumenté afin d’expliquer le choix que devrait faire Lucas.</w:t>
      </w:r>
    </w:p>
    <w:p w14:paraId="3C80B9BF" w14:textId="77777777" w:rsidR="0011119A" w:rsidRDefault="001051AE" w:rsidP="00676C79">
      <w:pPr>
        <w:pStyle w:val="Standard"/>
        <w:spacing w:before="100" w:beforeAutospacing="1"/>
      </w:pPr>
      <w:r>
        <w:t>Réponses personnelles argumentées des élèves</w:t>
      </w:r>
    </w:p>
    <w:p w14:paraId="3162A144" w14:textId="2DA2D388" w:rsidR="0011119A" w:rsidRDefault="001051AE">
      <w:pPr>
        <w:pStyle w:val="Titre1"/>
      </w:pPr>
      <w:r>
        <w:t xml:space="preserve">Séance 2 </w:t>
      </w:r>
      <w:r w:rsidR="00E765A6">
        <w:t>-</w:t>
      </w:r>
      <w:r>
        <w:t xml:space="preserve"> Étude du taux de chômage d’un territoire</w:t>
      </w:r>
    </w:p>
    <w:p w14:paraId="2FD16F1E" w14:textId="5BEE238A" w:rsidR="0011119A" w:rsidRDefault="001051AE">
      <w:pPr>
        <w:pStyle w:val="Titre2"/>
      </w:pPr>
      <w:r>
        <w:t>Activité 1 </w:t>
      </w:r>
      <w:r w:rsidR="00E765A6">
        <w:t>-</w:t>
      </w:r>
      <w:r>
        <w:t xml:space="preserve"> Analyser le chômage au niveau départemental</w:t>
      </w:r>
    </w:p>
    <w:p w14:paraId="10A09B55" w14:textId="77777777" w:rsidR="0011119A" w:rsidRDefault="001051AE">
      <w:pPr>
        <w:pStyle w:val="Paragraphedeliste"/>
        <w:numPr>
          <w:ilvl w:val="0"/>
          <w:numId w:val="22"/>
        </w:numPr>
        <w:spacing w:after="60"/>
        <w:ind w:left="357" w:hanging="357"/>
        <w:contextualSpacing w:val="0"/>
      </w:pPr>
      <w:r>
        <w:rPr>
          <w:b/>
          <w:bCs/>
        </w:rPr>
        <w:t>Calculer la moyenne de la variable « Ensemble » et comparer avec le taux de chômage en France figurant dans le tableur. Expliquer.</w:t>
      </w:r>
    </w:p>
    <w:p w14:paraId="7C73BFA7" w14:textId="77777777" w:rsidR="0011119A" w:rsidRDefault="001051AE" w:rsidP="00676C79">
      <w:pPr>
        <w:pStyle w:val="Standard"/>
        <w:spacing w:before="100" w:beforeAutospacing="1" w:after="100" w:afterAutospacing="1"/>
      </w:pPr>
      <w:r>
        <w:t>La moyenne vaut 7,458 hors Mayotte (7,1 en l’incluant). Elle est légèrement différente de la moyenne nationale calculée par l’Insee. En effet, l’Insee calcule une moyenne pondérée prenant en compte le nombre d’actifs (personnes en emploi ou au chômage) par département.</w:t>
      </w:r>
    </w:p>
    <w:p w14:paraId="7F8C5736" w14:textId="77777777" w:rsidR="0011119A" w:rsidRDefault="001051AE">
      <w:pPr>
        <w:pStyle w:val="Paragraphedeliste"/>
        <w:numPr>
          <w:ilvl w:val="0"/>
          <w:numId w:val="8"/>
        </w:numPr>
        <w:spacing w:after="60"/>
        <w:ind w:left="357" w:hanging="357"/>
        <w:contextualSpacing w:val="0"/>
      </w:pPr>
      <w:r>
        <w:rPr>
          <w:b/>
          <w:bCs/>
        </w:rPr>
        <w:t>Calculer l’écart-type du taux de chômage par département.</w:t>
      </w:r>
    </w:p>
    <w:p w14:paraId="45FAA209" w14:textId="77777777" w:rsidR="0011119A" w:rsidRDefault="001051AE" w:rsidP="00676C79">
      <w:pPr>
        <w:pStyle w:val="Standard"/>
        <w:spacing w:before="100" w:beforeAutospacing="1" w:after="100" w:afterAutospacing="1"/>
      </w:pPr>
      <w:r>
        <w:t>L’écart-type du taux de chômage par département est de 1,43.</w:t>
      </w:r>
    </w:p>
    <w:p w14:paraId="3B271101" w14:textId="77777777" w:rsidR="0011119A" w:rsidRDefault="001051AE">
      <w:pPr>
        <w:pStyle w:val="Paragraphedeliste"/>
        <w:numPr>
          <w:ilvl w:val="0"/>
          <w:numId w:val="8"/>
        </w:numPr>
        <w:spacing w:after="60"/>
        <w:ind w:left="357" w:hanging="357"/>
        <w:contextualSpacing w:val="0"/>
      </w:pPr>
      <w:r>
        <w:rPr>
          <w:b/>
          <w:bCs/>
        </w:rPr>
        <w:t>À l’aide de la moyenne et de l’écart-type, analyser la disparité du chômage en France.</w:t>
      </w:r>
    </w:p>
    <w:p w14:paraId="64C4361E" w14:textId="77777777" w:rsidR="0011119A" w:rsidRDefault="001051AE" w:rsidP="00676C79">
      <w:pPr>
        <w:pStyle w:val="Standard"/>
        <w:spacing w:before="100" w:beforeAutospacing="1" w:after="100" w:afterAutospacing="1"/>
      </w:pPr>
      <w:r>
        <w:t>Les taux de chômage départementaux ne sont donc pas identiques mais restent globalement assez proches de la moyenne nationale. L’écart-type relativement modéré montre qu’il existe des disparités entre départements, mais qu’elles ne sont pas extrêmement fortes : la majorité des départements se situe dans un intervalle d’environ ±1,5 point autour de la moyenne. Certains départements peuvent toutefois avoir des taux plus élevés ou plus faibles, traduisant des situations économiques locales et des caractéristiques de la population active différentes. Il existe des disparités territoriales du chômage en France, mais la plupart des départements restent relativement proches du taux moyen.</w:t>
      </w:r>
    </w:p>
    <w:p w14:paraId="091F12B1" w14:textId="77777777" w:rsidR="00676C79" w:rsidRDefault="00676C79">
      <w:pPr>
        <w:widowControl w:val="0"/>
        <w:autoSpaceDN w:val="0"/>
        <w:spacing w:after="0" w:line="240" w:lineRule="auto"/>
        <w:textAlignment w:val="baseline"/>
        <w:rPr>
          <w:b/>
          <w:bCs/>
        </w:rPr>
      </w:pPr>
      <w:r>
        <w:rPr>
          <w:b/>
          <w:bCs/>
        </w:rPr>
        <w:br w:type="page"/>
      </w:r>
    </w:p>
    <w:p w14:paraId="565D062C" w14:textId="05DCF7E7" w:rsidR="0011119A" w:rsidRDefault="001051AE">
      <w:pPr>
        <w:pStyle w:val="Paragraphedeliste"/>
        <w:numPr>
          <w:ilvl w:val="0"/>
          <w:numId w:val="8"/>
        </w:numPr>
        <w:spacing w:after="60"/>
        <w:ind w:left="357" w:hanging="357"/>
        <w:contextualSpacing w:val="0"/>
      </w:pPr>
      <w:r w:rsidRPr="00FA6807">
        <w:rPr>
          <w:b/>
          <w:bCs/>
        </w:rPr>
        <w:lastRenderedPageBreak/>
        <w:t>Construire la boîte à moustaches du taux de chômage par département. On fera apparaître les</w:t>
      </w:r>
      <w:r>
        <w:rPr>
          <w:b/>
          <w:bCs/>
        </w:rPr>
        <w:t xml:space="preserve"> indicateurs de positions minimum, maximum, médiane et quartiles.</w:t>
      </w:r>
    </w:p>
    <w:p w14:paraId="71141DF2" w14:textId="52841061" w:rsidR="00FA6807" w:rsidRDefault="00FA6807" w:rsidP="00676C79">
      <w:pPr>
        <w:pStyle w:val="Standard"/>
        <w:spacing w:before="100" w:beforeAutospacing="1" w:after="100" w:afterAutospacing="1"/>
        <w:jc w:val="center"/>
      </w:pPr>
      <w:r>
        <w:rPr>
          <w:noProof/>
        </w:rPr>
        <w:drawing>
          <wp:inline distT="0" distB="0" distL="0" distR="0" wp14:anchorId="1D5947E5" wp14:editId="6CD968B1">
            <wp:extent cx="4383405" cy="1122045"/>
            <wp:effectExtent l="0" t="0" r="0" b="0"/>
            <wp:docPr id="13" name="Image 13" descr="Boîte à moustaches représentant la répartition des taux de chômage des départements français. Le graphique indique la valeur minimale, le premier quartile, la médiane, le troisième quartile et la valeur maxi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Boîte à moustaches représentant la répartition des taux de chômage des départements français. Le graphique indique la valeur minimale, le premier quartile, la médiane, le troisième quartile et la valeur maxima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3405" cy="1122045"/>
                    </a:xfrm>
                    <a:prstGeom prst="rect">
                      <a:avLst/>
                    </a:prstGeom>
                    <a:noFill/>
                  </pic:spPr>
                </pic:pic>
              </a:graphicData>
            </a:graphic>
          </wp:inline>
        </w:drawing>
      </w:r>
    </w:p>
    <w:p w14:paraId="4BA805BF" w14:textId="77777777" w:rsidR="0011119A" w:rsidRDefault="001051AE">
      <w:pPr>
        <w:pStyle w:val="Paragraphedeliste"/>
        <w:numPr>
          <w:ilvl w:val="0"/>
          <w:numId w:val="8"/>
        </w:numPr>
        <w:spacing w:after="60"/>
        <w:ind w:left="357" w:hanging="357"/>
        <w:contextualSpacing w:val="0"/>
      </w:pPr>
      <w:r>
        <w:rPr>
          <w:b/>
          <w:bCs/>
        </w:rPr>
        <w:t>Représenter, sous la forme d’un histogramme, le taux de chômage en Lot-et-Garonne en fonction de l’âge.</w:t>
      </w:r>
    </w:p>
    <w:p w14:paraId="7B7D5C3D" w14:textId="56BF2B98" w:rsidR="00A328DF" w:rsidRDefault="00F37EEE" w:rsidP="00676C79">
      <w:pPr>
        <w:pStyle w:val="Standard"/>
        <w:spacing w:before="100" w:beforeAutospacing="1" w:after="100" w:afterAutospacing="1"/>
        <w:jc w:val="center"/>
      </w:pPr>
      <w:r>
        <w:rPr>
          <w:noProof/>
        </w:rPr>
        <w:drawing>
          <wp:inline distT="0" distB="0" distL="0" distR="0" wp14:anchorId="7C68495E" wp14:editId="7BA24C41">
            <wp:extent cx="3892417" cy="1992573"/>
            <wp:effectExtent l="0" t="0" r="0" b="8255"/>
            <wp:docPr id="14" name="Image 14" descr="Histogramme comparant le taux de chômage de trois classes d’âge dans le Lot-et-Garonne. La tranche des 15 à 24 ans présente le taux le plus élevé, proche de 19 %. Les 25 à 49 ans affichent un taux d’environ 7 %. Les personnes de 50 ans ou plus présentent le taux le plus faible, proche de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Histogramme comparant le taux de chômage de trois classes d’âge dans le Lot-et-Garonne. La tranche des 15 à 24 ans présente le taux le plus élevé, proche de 19 %. Les 25 à 49 ans affichent un taux d’environ 7 %. Les personnes de 50 ans ou plus présentent le taux le plus faible, proche de 5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4321" cy="2014024"/>
                    </a:xfrm>
                    <a:prstGeom prst="rect">
                      <a:avLst/>
                    </a:prstGeom>
                    <a:noFill/>
                  </pic:spPr>
                </pic:pic>
              </a:graphicData>
            </a:graphic>
          </wp:inline>
        </w:drawing>
      </w:r>
    </w:p>
    <w:p w14:paraId="4D0D1803" w14:textId="0B09D50F" w:rsidR="0011119A" w:rsidRPr="00FA6807" w:rsidRDefault="001051AE" w:rsidP="00676C79">
      <w:pPr>
        <w:pStyle w:val="Standard"/>
        <w:spacing w:after="100" w:afterAutospacing="1"/>
      </w:pPr>
      <w:r w:rsidRPr="00FA6807">
        <w:t xml:space="preserve">Dans </w:t>
      </w:r>
      <w:r w:rsidR="00FA6807">
        <w:t xml:space="preserve">le </w:t>
      </w:r>
      <w:r w:rsidR="00F37EEE">
        <w:t>graphique</w:t>
      </w:r>
      <w:r w:rsidRPr="00FA6807">
        <w:t xml:space="preserve">, le bon intitulé pour la 3e </w:t>
      </w:r>
      <w:r w:rsidR="00F37EEE">
        <w:t>classe d’âge</w:t>
      </w:r>
      <w:r w:rsidRPr="00FA6807">
        <w:t xml:space="preserve"> est</w:t>
      </w:r>
      <w:r w:rsidR="00F37EEE">
        <w:t xml:space="preserve"> bien </w:t>
      </w:r>
      <w:r w:rsidRPr="00FA6807">
        <w:t>« 50 ans ou plus », et non « 50 ans et plus », le principe étant que chaque individu statistique de cette modalité peut se voir attribuer l’intitulé en question, or un individu seul ne peut pas avoir « 50 ans et plus », il ne peut avoir que « 50 ans ou plus »</w:t>
      </w:r>
    </w:p>
    <w:p w14:paraId="7A445084" w14:textId="77777777" w:rsidR="0011119A" w:rsidRPr="001A5190" w:rsidRDefault="001051AE">
      <w:pPr>
        <w:pStyle w:val="Paragraphedeliste"/>
        <w:numPr>
          <w:ilvl w:val="0"/>
          <w:numId w:val="8"/>
        </w:numPr>
        <w:spacing w:after="60"/>
        <w:ind w:left="357" w:hanging="357"/>
        <w:contextualSpacing w:val="0"/>
      </w:pPr>
      <w:r w:rsidRPr="001A5190">
        <w:rPr>
          <w:b/>
          <w:bCs/>
        </w:rPr>
        <w:t>Identifier la tranche d’âge la plus impactée par le chômage.</w:t>
      </w:r>
    </w:p>
    <w:p w14:paraId="29D1E412" w14:textId="77777777" w:rsidR="0011119A" w:rsidRDefault="001051AE" w:rsidP="00676C79">
      <w:pPr>
        <w:pStyle w:val="Standard"/>
        <w:spacing w:before="100" w:beforeAutospacing="1" w:after="100" w:afterAutospacing="1"/>
      </w:pPr>
      <w:r>
        <w:t>C’est la tranche des 15-24 ans. Attention néanmoins à l’interprétation : le taux de chômage de 18,9 % pour les 15-24 ans en Lot-et-Garonne signifie que sur 100 jeunes de cet âge qui sont présents sur le marché du travail (en emploi ou au chômage), 18,9 sont au chômage. Si on rapportait le nombre de chômeurs à l’ensemble de la population de la tranche d’âge considérée (y compris, pour les jeunes, ceux qui sont encore scolarisés), alors la tranche d’âge des 15 à 24 ans ne serait pas forcément celle la plus impactée par le chômage au sens de la part de la population au chômage.</w:t>
      </w:r>
    </w:p>
    <w:p w14:paraId="742753CA" w14:textId="77777777" w:rsidR="0011119A" w:rsidRDefault="001051AE">
      <w:pPr>
        <w:pStyle w:val="Paragraphedeliste"/>
        <w:numPr>
          <w:ilvl w:val="0"/>
          <w:numId w:val="8"/>
        </w:numPr>
        <w:spacing w:after="60"/>
        <w:ind w:left="357" w:hanging="357"/>
        <w:contextualSpacing w:val="0"/>
      </w:pPr>
      <w:r>
        <w:rPr>
          <w:b/>
          <w:bCs/>
        </w:rPr>
        <w:t>À l’aide du tableau, montrer si cette tendance est identique dans les autres départements. Justifier en relevant des données chiffrées.</w:t>
      </w:r>
    </w:p>
    <w:p w14:paraId="23C650A4" w14:textId="77777777" w:rsidR="0011119A" w:rsidRDefault="001051AE" w:rsidP="00676C79">
      <w:pPr>
        <w:pStyle w:val="Standard"/>
        <w:spacing w:before="100" w:beforeAutospacing="1" w:after="100" w:afterAutospacing="1"/>
      </w:pPr>
      <w:r>
        <w:t>Cette tendance est identique dans les autres départements. En effet, la moyenne nationale pour cette tranche d’âge est de 18,4, donc bien au-dessus des autres tranches d’âges.</w:t>
      </w:r>
    </w:p>
    <w:p w14:paraId="0A10588E" w14:textId="77777777" w:rsidR="0011119A" w:rsidRDefault="001051AE">
      <w:pPr>
        <w:pStyle w:val="Paragraphedeliste"/>
        <w:numPr>
          <w:ilvl w:val="0"/>
          <w:numId w:val="8"/>
        </w:numPr>
        <w:spacing w:after="60"/>
        <w:ind w:left="357" w:hanging="357"/>
        <w:contextualSpacing w:val="0"/>
      </w:pPr>
      <w:r>
        <w:rPr>
          <w:b/>
          <w:bCs/>
        </w:rPr>
        <w:t>Conclure sur le taux de chômage en Lot-et-Garonne.</w:t>
      </w:r>
    </w:p>
    <w:p w14:paraId="3022032C" w14:textId="77777777" w:rsidR="0011119A" w:rsidRDefault="001051AE" w:rsidP="00676C79">
      <w:pPr>
        <w:pStyle w:val="Standard"/>
        <w:spacing w:before="100" w:beforeAutospacing="1" w:after="100" w:afterAutospacing="1"/>
      </w:pPr>
      <w:r>
        <w:t>Le Lot-et-Garonne a un taux de chômage un peu plus élevé que celui de la moitié des départements, mais il reste dans l’intervalle central (entre Q1 et Q3) où se situent 50 % des départements. Sa situation est donc proche de la moyenne nationale et pas particulièrement extrême.</w:t>
      </w:r>
    </w:p>
    <w:p w14:paraId="23E082AE" w14:textId="77777777" w:rsidR="0011119A" w:rsidRDefault="001051AE">
      <w:pPr>
        <w:pStyle w:val="Paragraphedeliste"/>
        <w:numPr>
          <w:ilvl w:val="0"/>
          <w:numId w:val="8"/>
        </w:numPr>
        <w:spacing w:after="120"/>
        <w:ind w:left="357" w:hanging="357"/>
        <w:contextualSpacing w:val="0"/>
      </w:pPr>
      <w:r>
        <w:rPr>
          <w:b/>
          <w:bCs/>
        </w:rPr>
        <w:lastRenderedPageBreak/>
        <w:t>Répondre à la problématique.</w:t>
      </w:r>
    </w:p>
    <w:p w14:paraId="770222ED" w14:textId="77777777" w:rsidR="0011119A" w:rsidRDefault="001051AE" w:rsidP="00676C79">
      <w:pPr>
        <w:pStyle w:val="Standard"/>
        <w:spacing w:before="100" w:beforeAutospacing="1" w:after="100" w:afterAutospacing="1"/>
      </w:pPr>
      <w:r>
        <w:t>Le taux de chômage du Lot-et-Garonne est comparable à celui des autres départements, car il se situe dans l’intervalle central de la distribution et proche de la moyenne nationale.</w:t>
      </w:r>
    </w:p>
    <w:p w14:paraId="2802D682" w14:textId="0FC3F3E2" w:rsidR="0011119A" w:rsidRDefault="001051AE">
      <w:pPr>
        <w:pStyle w:val="Titre2"/>
      </w:pPr>
      <w:r>
        <w:t xml:space="preserve">Activité 2 </w:t>
      </w:r>
      <w:r w:rsidR="00E765A6">
        <w:t>-</w:t>
      </w:r>
      <w:r>
        <w:t xml:space="preserve"> Comparer l’employabilité entre les communes d’Agen et de Nérac.</w:t>
      </w:r>
    </w:p>
    <w:p w14:paraId="0FEC0F2C" w14:textId="77777777" w:rsidR="0011119A" w:rsidRDefault="001051AE">
      <w:pPr>
        <w:pStyle w:val="Paragraphedeliste"/>
        <w:numPr>
          <w:ilvl w:val="0"/>
          <w:numId w:val="23"/>
        </w:numPr>
        <w:spacing w:after="60"/>
        <w:ind w:left="357" w:hanging="357"/>
        <w:contextualSpacing w:val="0"/>
      </w:pPr>
      <w:r>
        <w:rPr>
          <w:b/>
          <w:bCs/>
        </w:rPr>
        <w:t>Réaliser un diagramme en bâton représentant le nombre de chômeurs à Agen et Nérac en 2011, 2016 et 2022.</w:t>
      </w:r>
    </w:p>
    <w:p w14:paraId="4F694E89" w14:textId="0169EBF6" w:rsidR="00BD6B47" w:rsidRDefault="00BD6B47" w:rsidP="00676C79">
      <w:pPr>
        <w:pStyle w:val="Standard"/>
        <w:spacing w:before="100" w:beforeAutospacing="1" w:after="100" w:afterAutospacing="1"/>
        <w:jc w:val="center"/>
      </w:pPr>
      <w:bookmarkStart w:id="0" w:name="_8vlvnjagr16q"/>
      <w:bookmarkEnd w:id="0"/>
      <w:r>
        <w:rPr>
          <w:noProof/>
        </w:rPr>
        <w:drawing>
          <wp:inline distT="0" distB="0" distL="0" distR="0" wp14:anchorId="712EFA97" wp14:editId="2792C7AC">
            <wp:extent cx="3741028" cy="2251881"/>
            <wp:effectExtent l="0" t="0" r="0" b="0"/>
            <wp:docPr id="15" name="Image 15" descr="Diagramme en barres comparant le nombre de chômeurs dans les communes d’Agen et de Nérac en 2011, 2016 et 2022. Agen présente systématiquement un nombre de chômeurs beaucoup plus élevé que Nérac. Le nombre de chômeurs est relativement stable entre 2011 et 2016 puis diminue nettement en 2022 dans les deux commu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descr="Diagramme en barres comparant le nombre de chômeurs dans les communes d’Agen et de Nérac en 2011, 2016 et 2022. Agen présente systématiquement un nombre de chômeurs beaucoup plus élevé que Nérac. Le nombre de chômeurs est relativement stable entre 2011 et 2016 puis diminue nettement en 2022 dans les deux commun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2926" cy="2271081"/>
                    </a:xfrm>
                    <a:prstGeom prst="rect">
                      <a:avLst/>
                    </a:prstGeom>
                    <a:noFill/>
                  </pic:spPr>
                </pic:pic>
              </a:graphicData>
            </a:graphic>
          </wp:inline>
        </w:drawing>
      </w:r>
    </w:p>
    <w:p w14:paraId="48A48FE8" w14:textId="77777777" w:rsidR="0011119A" w:rsidRDefault="001051AE">
      <w:pPr>
        <w:pStyle w:val="Paragraphedeliste"/>
        <w:numPr>
          <w:ilvl w:val="0"/>
          <w:numId w:val="9"/>
        </w:numPr>
        <w:spacing w:after="60"/>
        <w:ind w:left="357" w:hanging="357"/>
        <w:contextualSpacing w:val="0"/>
      </w:pPr>
      <w:r>
        <w:rPr>
          <w:b/>
          <w:bCs/>
        </w:rPr>
        <w:t>Comparer l’évolution du chômage à Agen et Nérac entre 2011 et 2022.</w:t>
      </w:r>
    </w:p>
    <w:p w14:paraId="6C319876" w14:textId="77777777" w:rsidR="0011119A" w:rsidRDefault="001051AE" w:rsidP="00676C79">
      <w:pPr>
        <w:pStyle w:val="Standard"/>
        <w:spacing w:before="100" w:beforeAutospacing="1" w:after="100" w:afterAutospacing="1"/>
      </w:pPr>
      <w:r>
        <w:t>Le taux de chômage en 2016 à Agen est semblable à celui de 2011, alors qu’il augmente sur la période à Nérac. Il baisse sensiblement entre 2016 et 2022 pour les 2 communes.</w:t>
      </w:r>
    </w:p>
    <w:p w14:paraId="45B2D742" w14:textId="77777777" w:rsidR="0011119A" w:rsidRDefault="001051AE">
      <w:pPr>
        <w:pStyle w:val="Paragraphedeliste"/>
        <w:numPr>
          <w:ilvl w:val="0"/>
          <w:numId w:val="9"/>
        </w:numPr>
        <w:spacing w:after="120"/>
        <w:ind w:left="357" w:hanging="357"/>
        <w:contextualSpacing w:val="0"/>
      </w:pPr>
      <w:r>
        <w:rPr>
          <w:b/>
          <w:bCs/>
        </w:rPr>
        <w:t>Identifier la commune qui offre la plus forte réserve théorique de main-d’œuvre. Justifier.</w:t>
      </w:r>
    </w:p>
    <w:p w14:paraId="78F8EA7F" w14:textId="7F14B240" w:rsidR="0011119A" w:rsidRDefault="001051AE" w:rsidP="00676C79">
      <w:pPr>
        <w:pStyle w:val="Standard"/>
        <w:spacing w:before="100" w:beforeAutospacing="1" w:after="100" w:afterAutospacing="1"/>
      </w:pPr>
      <w:r>
        <w:t>La commune d’Agen a le taux de chômage le plus élevé et le nombre de chômeurs le plus élevé (population plus importante). Agen offre donc la plus forte réserve théorique de main</w:t>
      </w:r>
      <w:r w:rsidR="00547E64">
        <w:t xml:space="preserve"> </w:t>
      </w:r>
      <w:r>
        <w:t>d’</w:t>
      </w:r>
      <w:r w:rsidR="00547E64">
        <w:t>œuvre</w:t>
      </w:r>
      <w:r>
        <w:t>.</w:t>
      </w:r>
    </w:p>
    <w:p w14:paraId="0048FD15" w14:textId="77777777" w:rsidR="0011119A" w:rsidRDefault="001051AE">
      <w:pPr>
        <w:pStyle w:val="Paragraphedeliste"/>
        <w:numPr>
          <w:ilvl w:val="0"/>
          <w:numId w:val="9"/>
        </w:numPr>
        <w:spacing w:after="120"/>
        <w:ind w:left="357" w:hanging="357"/>
        <w:contextualSpacing w:val="0"/>
      </w:pPr>
      <w:r>
        <w:rPr>
          <w:b/>
          <w:bCs/>
        </w:rPr>
        <w:t>Formuler la réponse à destination de Lucas.</w:t>
      </w:r>
    </w:p>
    <w:p w14:paraId="0B21B452" w14:textId="77777777" w:rsidR="0011119A" w:rsidRDefault="001051AE" w:rsidP="00676C79">
      <w:pPr>
        <w:pStyle w:val="Standard"/>
        <w:spacing w:before="100" w:beforeAutospacing="1" w:after="100" w:afterAutospacing="1"/>
      </w:pPr>
      <w:r>
        <w:t>Lucas doit donc concentrer ses recherches sur la commune d’Agen pour recruter ses futurs salariés.</w:t>
      </w:r>
    </w:p>
    <w:p w14:paraId="270F6F48" w14:textId="40389062" w:rsidR="0011119A" w:rsidRDefault="001051AE">
      <w:pPr>
        <w:pStyle w:val="Titre1"/>
      </w:pPr>
      <w:r>
        <w:t xml:space="preserve">Séance 3 </w:t>
      </w:r>
      <w:r w:rsidR="00E765A6">
        <w:t>-</w:t>
      </w:r>
      <w:r>
        <w:t xml:space="preserve"> Analyse de l’emploi</w:t>
      </w:r>
    </w:p>
    <w:p w14:paraId="162CD592" w14:textId="2692B3BA" w:rsidR="0011119A" w:rsidRDefault="001051AE">
      <w:pPr>
        <w:pStyle w:val="Titre2"/>
      </w:pPr>
      <w:r>
        <w:t>Activité 1 </w:t>
      </w:r>
      <w:r w:rsidR="00E765A6">
        <w:t>-</w:t>
      </w:r>
      <w:r>
        <w:t xml:space="preserve"> Analyser l’emploi dans la région Nouvelle-Aquitaine dans le milieu rural</w:t>
      </w:r>
    </w:p>
    <w:p w14:paraId="510A0403" w14:textId="77777777" w:rsidR="0011119A" w:rsidRDefault="001051AE">
      <w:pPr>
        <w:pStyle w:val="Paragraphedeliste"/>
        <w:numPr>
          <w:ilvl w:val="0"/>
          <w:numId w:val="24"/>
        </w:numPr>
        <w:spacing w:after="60"/>
        <w:ind w:left="357" w:hanging="357"/>
        <w:contextualSpacing w:val="0"/>
      </w:pPr>
      <w:r>
        <w:rPr>
          <w:b/>
          <w:bCs/>
        </w:rPr>
        <w:t>Définir le taux d’emploi.</w:t>
      </w:r>
    </w:p>
    <w:p w14:paraId="0848D19B" w14:textId="77777777" w:rsidR="0011119A" w:rsidRDefault="001051AE" w:rsidP="00676C79">
      <w:pPr>
        <w:pStyle w:val="Standard"/>
        <w:spacing w:before="100" w:beforeAutospacing="1" w:after="100" w:afterAutospacing="1"/>
      </w:pPr>
      <w:r>
        <w:t>Le taux d’emploi rapporte le nombre de personnes en emploi à la population totale. Il peut être calculé pour une sous-catégorie de la population donnée (par exemple une tranche d’âge, les habitants d’une région, les titulaires d’un diplôme, etc.). Source : Définition Insee</w:t>
      </w:r>
    </w:p>
    <w:p w14:paraId="6C9DCF51" w14:textId="77777777" w:rsidR="0011119A" w:rsidRDefault="001051AE">
      <w:pPr>
        <w:pStyle w:val="Paragraphedeliste"/>
        <w:numPr>
          <w:ilvl w:val="0"/>
          <w:numId w:val="10"/>
        </w:numPr>
        <w:spacing w:after="120"/>
        <w:ind w:left="357" w:hanging="357"/>
        <w:contextualSpacing w:val="0"/>
      </w:pPr>
      <w:r>
        <w:rPr>
          <w:b/>
          <w:bCs/>
        </w:rPr>
        <w:lastRenderedPageBreak/>
        <w:t>Commenter l’infographie sur l’éloignement des villes qui accentue les écarts d’accès à l’emploi entre les femmes et les hommes.</w:t>
      </w:r>
    </w:p>
    <w:p w14:paraId="7D27567A" w14:textId="77777777" w:rsidR="0011119A" w:rsidRDefault="001051AE" w:rsidP="00676C79">
      <w:pPr>
        <w:pStyle w:val="Standard"/>
        <w:spacing w:before="100" w:beforeAutospacing="1" w:after="100" w:afterAutospacing="1"/>
      </w:pPr>
      <w:r>
        <w:t>Le document 1 présente le taux d’emploi selon le sexe en région Nouvelle-Aquitaine en comparant le taux suivant l’éloignement des villes. Trois zones sont délimitées : Rural autonome, Rural périurbain et urbain.</w:t>
      </w:r>
    </w:p>
    <w:p w14:paraId="692D707E" w14:textId="046EBFFC" w:rsidR="0011119A" w:rsidRDefault="001051AE" w:rsidP="00676C79">
      <w:pPr>
        <w:pStyle w:val="Standard"/>
        <w:spacing w:after="100" w:afterAutospacing="1"/>
      </w:pPr>
      <w:r>
        <w:t>On constate que le taux d’emploi est le plus élevé dans le rural périurbain, pour les femmes comme pour les hommes. Quand on s’éloigne davantage des villes et qu’on habite dans le rural autonome, le taux d’emploi diminue, pour les hommes comme pour les femmes. Toutefois, cet écart touche davantage les femmes que les hommes.</w:t>
      </w:r>
    </w:p>
    <w:p w14:paraId="423DDA7F" w14:textId="77777777" w:rsidR="0011119A" w:rsidRDefault="001051AE" w:rsidP="00676C79">
      <w:pPr>
        <w:pStyle w:val="Standard"/>
        <w:spacing w:after="100" w:afterAutospacing="1"/>
      </w:pPr>
      <w:r>
        <w:rPr>
          <w:b/>
          <w:bCs/>
        </w:rPr>
        <w:t>Lucas est conscient que l’activité de l’aide à domicile est essentiellement féminine, mais il ne connait pas la proportion, notamment dans le milieu rural (le rural péri-urbain comme le rural autonome).</w:t>
      </w:r>
    </w:p>
    <w:p w14:paraId="59F405D0" w14:textId="77777777" w:rsidR="0011119A" w:rsidRDefault="001051AE">
      <w:pPr>
        <w:pStyle w:val="Paragraphedeliste"/>
        <w:numPr>
          <w:ilvl w:val="0"/>
          <w:numId w:val="10"/>
        </w:numPr>
        <w:spacing w:after="60"/>
        <w:ind w:left="357" w:hanging="357"/>
        <w:contextualSpacing w:val="0"/>
      </w:pPr>
      <w:r>
        <w:rPr>
          <w:b/>
          <w:bCs/>
        </w:rPr>
        <w:t>Indiquer le secteur d’activité dominant chez les femmes et chez les hommes.</w:t>
      </w:r>
    </w:p>
    <w:p w14:paraId="018FE7F0" w14:textId="77777777" w:rsidR="0011119A" w:rsidRDefault="001051AE" w:rsidP="00676C79">
      <w:pPr>
        <w:pStyle w:val="Paragraphedeliste"/>
        <w:numPr>
          <w:ilvl w:val="0"/>
          <w:numId w:val="0"/>
        </w:numPr>
        <w:spacing w:before="100" w:beforeAutospacing="1" w:after="60"/>
        <w:ind w:left="357" w:hanging="360"/>
        <w:contextualSpacing w:val="0"/>
      </w:pPr>
      <w:r>
        <w:t>Les femmes : Santé humaine et action sociale</w:t>
      </w:r>
    </w:p>
    <w:p w14:paraId="08C1A0D5" w14:textId="77777777" w:rsidR="0011119A" w:rsidRDefault="001051AE" w:rsidP="00676C79">
      <w:pPr>
        <w:pStyle w:val="Paragraphedeliste"/>
        <w:numPr>
          <w:ilvl w:val="0"/>
          <w:numId w:val="0"/>
        </w:numPr>
        <w:spacing w:after="100" w:afterAutospacing="1"/>
        <w:ind w:left="357" w:hanging="360"/>
        <w:contextualSpacing w:val="0"/>
      </w:pPr>
      <w:r>
        <w:t>Les hommes : Commerce et restauration</w:t>
      </w:r>
    </w:p>
    <w:p w14:paraId="0743B92A" w14:textId="77777777" w:rsidR="0011119A" w:rsidRDefault="001051AE" w:rsidP="00676C79">
      <w:pPr>
        <w:pStyle w:val="Paragraphedeliste"/>
        <w:numPr>
          <w:ilvl w:val="0"/>
          <w:numId w:val="10"/>
        </w:numPr>
        <w:spacing w:after="100" w:afterAutospacing="1"/>
        <w:ind w:left="357" w:hanging="357"/>
        <w:contextualSpacing w:val="0"/>
      </w:pPr>
      <w:r>
        <w:rPr>
          <w:b/>
          <w:bCs/>
        </w:rPr>
        <w:t>Formuler des hypothèses pour expliquer la part importante des emplois précaires dans le rural néo-aquitain.</w:t>
      </w:r>
    </w:p>
    <w:p w14:paraId="4C233E8F" w14:textId="77777777" w:rsidR="0011119A" w:rsidRDefault="001051AE" w:rsidP="00676C79">
      <w:pPr>
        <w:pStyle w:val="Paragraphedeliste"/>
        <w:numPr>
          <w:ilvl w:val="0"/>
          <w:numId w:val="25"/>
        </w:numPr>
        <w:spacing w:before="100" w:beforeAutospacing="1"/>
        <w:ind w:left="714" w:hanging="357"/>
        <w:contextualSpacing w:val="0"/>
      </w:pPr>
      <w:proofErr w:type="gramStart"/>
      <w:r>
        <w:t>plus</w:t>
      </w:r>
      <w:proofErr w:type="gramEnd"/>
      <w:r>
        <w:t xml:space="preserve"> forte concentration de l’emploi qu’ailleurs dans des secteurs d’activité proposant des emplois à durée courte (CDD, intérimaires)</w:t>
      </w:r>
    </w:p>
    <w:p w14:paraId="7F23E247" w14:textId="77777777" w:rsidR="0011119A" w:rsidRDefault="001051AE" w:rsidP="00676C79">
      <w:pPr>
        <w:pStyle w:val="Paragraphedeliste"/>
        <w:numPr>
          <w:ilvl w:val="0"/>
          <w:numId w:val="14"/>
        </w:numPr>
        <w:ind w:left="714" w:hanging="357"/>
        <w:contextualSpacing w:val="0"/>
      </w:pPr>
      <w:proofErr w:type="gramStart"/>
      <w:r>
        <w:t>peu</w:t>
      </w:r>
      <w:proofErr w:type="gramEnd"/>
      <w:r>
        <w:t xml:space="preserve"> d’emplois disponibles en zone rurale, même si cette hypothèse n’est pas systématiquement vérifiée</w:t>
      </w:r>
    </w:p>
    <w:p w14:paraId="1EACBCB9" w14:textId="282F13C4" w:rsidR="0011119A" w:rsidRDefault="001051AE">
      <w:pPr>
        <w:pStyle w:val="Titre2"/>
      </w:pPr>
      <w:r>
        <w:t>Activité 2 </w:t>
      </w:r>
      <w:r w:rsidR="00E765A6">
        <w:t>-</w:t>
      </w:r>
      <w:r>
        <w:t xml:space="preserve"> Analyser le taux de chômage dans le Lot-et-Garonne</w:t>
      </w:r>
    </w:p>
    <w:p w14:paraId="63D0D3A8" w14:textId="77777777" w:rsidR="0011119A" w:rsidRDefault="001051AE">
      <w:pPr>
        <w:pStyle w:val="Paragraphedeliste"/>
        <w:numPr>
          <w:ilvl w:val="0"/>
          <w:numId w:val="26"/>
        </w:numPr>
        <w:spacing w:after="60"/>
        <w:ind w:left="357" w:hanging="357"/>
        <w:contextualSpacing w:val="0"/>
      </w:pPr>
      <w:bookmarkStart w:id="1" w:name="_uww7ejfyfg6"/>
      <w:bookmarkEnd w:id="1"/>
      <w:r>
        <w:rPr>
          <w:b/>
          <w:bCs/>
        </w:rPr>
        <w:t>Comparer le taux d’emploi Femmes / Hommes dans le Lot-et-Garonne.</w:t>
      </w:r>
    </w:p>
    <w:p w14:paraId="5D54B4B0" w14:textId="77777777" w:rsidR="0011119A" w:rsidRDefault="001051AE" w:rsidP="00676C79">
      <w:pPr>
        <w:pStyle w:val="Standard"/>
        <w:spacing w:before="100" w:beforeAutospacing="1" w:after="100" w:afterAutospacing="1"/>
      </w:pPr>
      <w:r>
        <w:t>Le taux d’emploi est plus faible pour les femmes (63,6 %) que pour les hommes (69,2 %) dans le Lot-et-Garonne.</w:t>
      </w:r>
    </w:p>
    <w:p w14:paraId="15A4A9EB" w14:textId="5086E9E8" w:rsidR="0011119A" w:rsidRDefault="001051AE">
      <w:pPr>
        <w:pStyle w:val="Paragraphedeliste"/>
        <w:numPr>
          <w:ilvl w:val="0"/>
          <w:numId w:val="11"/>
        </w:numPr>
        <w:spacing w:after="60"/>
        <w:ind w:left="357" w:hanging="357"/>
        <w:contextualSpacing w:val="0"/>
      </w:pPr>
      <w:r>
        <w:rPr>
          <w:b/>
          <w:bCs/>
        </w:rPr>
        <w:t>Calculer la part des actifs 25/54 ans femmes par rapport à l’ensemble des actifs</w:t>
      </w:r>
      <w:r w:rsidR="00DA1303">
        <w:rPr>
          <w:b/>
          <w:bCs/>
        </w:rPr>
        <w:t xml:space="preserve"> (tous âges confondus)</w:t>
      </w:r>
      <w:r>
        <w:rPr>
          <w:b/>
          <w:bCs/>
        </w:rPr>
        <w:t>.</w:t>
      </w:r>
    </w:p>
    <w:p w14:paraId="69175803" w14:textId="77777777" w:rsidR="0011119A" w:rsidRDefault="001051AE" w:rsidP="00676C79">
      <w:pPr>
        <w:pStyle w:val="Standard"/>
        <w:spacing w:before="100" w:beforeAutospacing="1" w:after="100" w:afterAutospacing="1"/>
      </w:pPr>
      <w:r>
        <w:t>(49 272 / 142 474) x 100 = 34,6 %</w:t>
      </w:r>
    </w:p>
    <w:p w14:paraId="3F985B68" w14:textId="77777777" w:rsidR="0011119A" w:rsidRDefault="001051AE">
      <w:pPr>
        <w:pStyle w:val="Paragraphedeliste"/>
        <w:numPr>
          <w:ilvl w:val="0"/>
          <w:numId w:val="11"/>
        </w:numPr>
        <w:spacing w:after="60"/>
        <w:ind w:hanging="357"/>
        <w:contextualSpacing w:val="0"/>
      </w:pPr>
      <w:r>
        <w:rPr>
          <w:b/>
          <w:bCs/>
        </w:rPr>
        <w:t>Calculer les taux d’évolution du nombre de chômeurs dans le Lot-et-Garonne entre 2011 et 2016, 2016 et 2022, et entre 2011 et 2022.</w:t>
      </w:r>
    </w:p>
    <w:p w14:paraId="52F78956" w14:textId="309AD727" w:rsidR="0011119A" w:rsidRDefault="001051AE" w:rsidP="00676C79">
      <w:pPr>
        <w:pStyle w:val="Standard"/>
        <w:spacing w:before="100" w:beforeAutospacing="1" w:after="60"/>
        <w:ind w:left="6"/>
      </w:pPr>
      <w:r>
        <w:t>Entre 2011 et 2016 </w:t>
      </w:r>
      <w:proofErr w:type="gramStart"/>
      <w:r>
        <w:t>:  (</w:t>
      </w:r>
      <w:proofErr w:type="gramEnd"/>
      <w:r>
        <w:t>20 768-18 842)/18 442x100 = 10,</w:t>
      </w:r>
      <w:r w:rsidR="002B27BD">
        <w:t>2</w:t>
      </w:r>
      <w:r>
        <w:t xml:space="preserve"> %</w:t>
      </w:r>
    </w:p>
    <w:p w14:paraId="7D5C78F0" w14:textId="77777777" w:rsidR="0011119A" w:rsidRDefault="001051AE">
      <w:pPr>
        <w:pStyle w:val="Standard"/>
        <w:spacing w:after="60"/>
        <w:ind w:left="6"/>
      </w:pPr>
      <w:r>
        <w:t>Entre 2016 et 2022 </w:t>
      </w:r>
      <w:proofErr w:type="gramStart"/>
      <w:r>
        <w:t>:  (</w:t>
      </w:r>
      <w:proofErr w:type="gramEnd"/>
      <w:r>
        <w:t>16 753-20 768)/20 768x100 = - 19,3 %</w:t>
      </w:r>
    </w:p>
    <w:p w14:paraId="5F988114" w14:textId="77777777" w:rsidR="0011119A" w:rsidRDefault="001051AE" w:rsidP="00676C79">
      <w:pPr>
        <w:pStyle w:val="Standard"/>
        <w:spacing w:after="100" w:afterAutospacing="1"/>
        <w:ind w:left="6"/>
      </w:pPr>
      <w:r>
        <w:t>Entre 2011 et 2022 </w:t>
      </w:r>
      <w:proofErr w:type="gramStart"/>
      <w:r>
        <w:t>:  (</w:t>
      </w:r>
      <w:proofErr w:type="gramEnd"/>
      <w:r>
        <w:t>16 753-18 842)x100 = - 11,1 %</w:t>
      </w:r>
    </w:p>
    <w:p w14:paraId="530A9799" w14:textId="77777777" w:rsidR="00676C79" w:rsidRDefault="00676C79" w:rsidP="00D60406">
      <w:pPr>
        <w:pStyle w:val="Paragraphedeliste"/>
        <w:numPr>
          <w:ilvl w:val="0"/>
          <w:numId w:val="11"/>
        </w:numPr>
        <w:spacing w:after="60"/>
        <w:ind w:hanging="357"/>
        <w:contextualSpacing w:val="0"/>
        <w:rPr>
          <w:b/>
          <w:bCs/>
        </w:rPr>
      </w:pPr>
      <w:r>
        <w:rPr>
          <w:b/>
          <w:bCs/>
        </w:rPr>
        <w:br w:type="page"/>
      </w:r>
    </w:p>
    <w:p w14:paraId="789CB9B3" w14:textId="05957DDF" w:rsidR="0011119A" w:rsidRDefault="001051AE" w:rsidP="00D60406">
      <w:pPr>
        <w:pStyle w:val="Paragraphedeliste"/>
        <w:numPr>
          <w:ilvl w:val="0"/>
          <w:numId w:val="11"/>
        </w:numPr>
        <w:spacing w:after="60"/>
        <w:ind w:hanging="357"/>
        <w:contextualSpacing w:val="0"/>
      </w:pPr>
      <w:r>
        <w:rPr>
          <w:b/>
          <w:bCs/>
        </w:rPr>
        <w:lastRenderedPageBreak/>
        <w:t>Commenter l’évolution de la répartition du chômage selon l’âge, entre 2016 et 2022.</w:t>
      </w:r>
    </w:p>
    <w:p w14:paraId="2F8CF546" w14:textId="77777777" w:rsidR="0011119A" w:rsidRDefault="001051AE" w:rsidP="00676C79">
      <w:pPr>
        <w:pStyle w:val="Standard"/>
        <w:spacing w:before="100" w:beforeAutospacing="1" w:after="0"/>
        <w:ind w:left="3"/>
      </w:pPr>
      <w:r>
        <w:t>On constate que le chômage touche davantage les actifs de la tranche d’âge des 15/24 ans (22,6 % en 2022). La tranche d’âge 55/64 ans est la moins touchée (9,8 % en 2022).</w:t>
      </w:r>
    </w:p>
    <w:p w14:paraId="4DAA51F9" w14:textId="77777777" w:rsidR="0011119A" w:rsidRDefault="001051AE">
      <w:pPr>
        <w:pStyle w:val="Standard"/>
        <w:spacing w:after="0"/>
        <w:ind w:left="3"/>
      </w:pPr>
      <w:r>
        <w:t>Entre 2016 et 2022, le taux de chômage a baissé fortement, notamment pour la tranche d’âge 15/24 ans : il passe de 30,3 % des actifs en 2016 à 22,6 % en 2022.</w:t>
      </w:r>
    </w:p>
    <w:p w14:paraId="1A17AB9B" w14:textId="77777777" w:rsidR="0011119A" w:rsidRDefault="001051AE" w:rsidP="00676C79">
      <w:pPr>
        <w:pStyle w:val="Standard"/>
        <w:spacing w:after="100" w:afterAutospacing="1"/>
        <w:ind w:left="6"/>
      </w:pPr>
      <w:r>
        <w:t>Le taux de chômage baisse aussi dans les autres tranches d’âge, mais de façon moins marquée.</w:t>
      </w:r>
    </w:p>
    <w:p w14:paraId="191F0D3D" w14:textId="77777777" w:rsidR="0011119A" w:rsidRPr="00D60406" w:rsidRDefault="001051AE" w:rsidP="00D60406">
      <w:pPr>
        <w:pStyle w:val="Paragraphedeliste"/>
        <w:numPr>
          <w:ilvl w:val="0"/>
          <w:numId w:val="11"/>
        </w:numPr>
        <w:spacing w:after="60"/>
        <w:ind w:hanging="357"/>
        <w:contextualSpacing w:val="0"/>
        <w:rPr>
          <w:b/>
          <w:bCs/>
        </w:rPr>
      </w:pPr>
      <w:r>
        <w:rPr>
          <w:b/>
          <w:bCs/>
        </w:rPr>
        <w:t>Analyser le taux de chômage selon le niveau de diplôme dans le Lot-et-Garonne.</w:t>
      </w:r>
    </w:p>
    <w:p w14:paraId="574B8BEA" w14:textId="11A66D6A" w:rsidR="0011119A" w:rsidRDefault="001051AE" w:rsidP="00676C79">
      <w:pPr>
        <w:pStyle w:val="Standard"/>
        <w:spacing w:before="100" w:beforeAutospacing="1" w:after="100" w:afterAutospacing="1"/>
        <w:ind w:left="6"/>
      </w:pPr>
      <w:r>
        <w:t>Plus on détient un diplôme élevé, moins on est touché par le chômage. Le taux de chômage des actifs sans diplôme est de 22,6 %</w:t>
      </w:r>
      <w:r w:rsidR="00C3760B">
        <w:t xml:space="preserve"> en 2022 (document 5)</w:t>
      </w:r>
      <w:r>
        <w:t>, alors que les détenteurs d’un diplôme de l’enseignement supérieur bac + 5 ou + ont un taux de chômage de 5,7 %.</w:t>
      </w:r>
    </w:p>
    <w:p w14:paraId="0843770A" w14:textId="291BAF76" w:rsidR="0011119A" w:rsidRDefault="001051AE">
      <w:pPr>
        <w:pStyle w:val="Paragraphedeliste"/>
        <w:numPr>
          <w:ilvl w:val="0"/>
          <w:numId w:val="11"/>
        </w:numPr>
        <w:spacing w:after="60"/>
        <w:ind w:hanging="357"/>
        <w:contextualSpacing w:val="0"/>
      </w:pPr>
      <w:r>
        <w:rPr>
          <w:b/>
          <w:bCs/>
        </w:rPr>
        <w:t xml:space="preserve">Caractériser le profil type des candidats </w:t>
      </w:r>
      <w:r w:rsidR="00763E1F">
        <w:rPr>
          <w:b/>
          <w:bCs/>
        </w:rPr>
        <w:t xml:space="preserve">potentiels </w:t>
      </w:r>
      <w:r>
        <w:rPr>
          <w:b/>
          <w:bCs/>
        </w:rPr>
        <w:t>pour le secteur d’activité dans lequel Lucas recrute (âge, sexe, niveau d’étude).</w:t>
      </w:r>
    </w:p>
    <w:p w14:paraId="1F3A64BF" w14:textId="7793ADA7" w:rsidR="0011119A" w:rsidRDefault="00763E1F" w:rsidP="00676C79">
      <w:pPr>
        <w:pStyle w:val="Standard"/>
        <w:spacing w:before="100" w:beforeAutospacing="1" w:after="100" w:afterAutospacing="1"/>
        <w:ind w:left="3"/>
      </w:pPr>
      <w:r>
        <w:t xml:space="preserve">Ce sont plutôt des </w:t>
      </w:r>
      <w:r w:rsidR="001051AE">
        <w:t>femme</w:t>
      </w:r>
      <w:r>
        <w:t>s, surreprésentées dans le secteur social</w:t>
      </w:r>
      <w:r w:rsidR="001051AE">
        <w:t>, de 25 à 54 ans</w:t>
      </w:r>
      <w:r>
        <w:t xml:space="preserve"> (classe d’âge de la population active la plus nombreuse)</w:t>
      </w:r>
      <w:r w:rsidR="001051AE">
        <w:t>, ayant un CAP ou BEP et un baccalauréat</w:t>
      </w:r>
      <w:r>
        <w:t xml:space="preserve"> (diplôme « intermédiaire » correspondant à des postes demandant peu de qualification)</w:t>
      </w:r>
      <w:r w:rsidR="001051AE">
        <w:t>.</w:t>
      </w:r>
    </w:p>
    <w:p w14:paraId="1E37AA03" w14:textId="77777777" w:rsidR="0011119A" w:rsidRDefault="001051AE">
      <w:pPr>
        <w:pStyle w:val="Paragraphedeliste"/>
        <w:numPr>
          <w:ilvl w:val="0"/>
          <w:numId w:val="11"/>
        </w:numPr>
        <w:spacing w:after="60"/>
        <w:ind w:hanging="357"/>
        <w:contextualSpacing w:val="0"/>
      </w:pPr>
      <w:r>
        <w:rPr>
          <w:b/>
          <w:bCs/>
        </w:rPr>
        <w:t>Formuler la réponse à destination de Lucas.</w:t>
      </w:r>
    </w:p>
    <w:p w14:paraId="5881F886" w14:textId="77777777" w:rsidR="0011119A" w:rsidRDefault="001051AE" w:rsidP="00676C79">
      <w:pPr>
        <w:pStyle w:val="Standard"/>
        <w:spacing w:before="100" w:beforeAutospacing="1" w:after="100" w:afterAutospacing="1"/>
        <w:ind w:left="3"/>
      </w:pPr>
      <w:r>
        <w:t>L’emploi dans le rural présente des caractéristiques intéressantes pour Lucas : le taux d’emploi des femmes est faible, le secteur d’activité correspond à leurs recherches, et demande peu de diplôme.</w:t>
      </w:r>
    </w:p>
    <w:p w14:paraId="0D2818CE" w14:textId="38709C53" w:rsidR="0011119A" w:rsidRDefault="001051AE">
      <w:pPr>
        <w:pStyle w:val="Titre1"/>
      </w:pPr>
      <w:r>
        <w:t>Séance 4 </w:t>
      </w:r>
      <w:r w:rsidR="00E765A6">
        <w:t>-</w:t>
      </w:r>
      <w:r>
        <w:t xml:space="preserve"> Analyse du revenu et des dépenses des ménages</w:t>
      </w:r>
    </w:p>
    <w:p w14:paraId="564C4E6F" w14:textId="0AFA2C85" w:rsidR="0011119A" w:rsidRDefault="001051AE">
      <w:pPr>
        <w:pStyle w:val="Titre2"/>
      </w:pPr>
      <w:r>
        <w:t>Activité 1 </w:t>
      </w:r>
      <w:r w:rsidR="00E765A6">
        <w:t>-</w:t>
      </w:r>
      <w:r>
        <w:t xml:space="preserve"> Analyser le taux de pauvreté</w:t>
      </w:r>
    </w:p>
    <w:p w14:paraId="4869C99F" w14:textId="77777777" w:rsidR="0011119A" w:rsidRDefault="001051AE">
      <w:pPr>
        <w:pStyle w:val="Paragraphedeliste"/>
        <w:numPr>
          <w:ilvl w:val="0"/>
          <w:numId w:val="27"/>
        </w:numPr>
        <w:spacing w:after="60"/>
        <w:ind w:left="357" w:hanging="357"/>
        <w:contextualSpacing w:val="0"/>
      </w:pPr>
      <w:r>
        <w:rPr>
          <w:b/>
          <w:bCs/>
        </w:rPr>
        <w:t>Repérer le département du Lot-et-Garonne.</w:t>
      </w:r>
    </w:p>
    <w:p w14:paraId="1D68B5AD" w14:textId="77777777" w:rsidR="0011119A" w:rsidRDefault="001051AE">
      <w:pPr>
        <w:pStyle w:val="Paragraphedeliste"/>
        <w:numPr>
          <w:ilvl w:val="0"/>
          <w:numId w:val="12"/>
        </w:numPr>
        <w:spacing w:after="0"/>
      </w:pPr>
      <w:bookmarkStart w:id="2" w:name="_xte2cvjk8ffo"/>
      <w:bookmarkEnd w:id="2"/>
      <w:r>
        <w:rPr>
          <w:b/>
          <w:bCs/>
        </w:rPr>
        <w:t>Indiquer le taux de pauvreté dans le département du Lot-et-Garonne.</w:t>
      </w:r>
    </w:p>
    <w:p w14:paraId="550E6A50" w14:textId="77777777" w:rsidR="0011119A" w:rsidRDefault="001051AE" w:rsidP="00E765A6">
      <w:pPr>
        <w:pStyle w:val="Standard"/>
        <w:spacing w:before="100" w:beforeAutospacing="1" w:after="120"/>
      </w:pPr>
      <w:r>
        <w:t>Le taux de pauvreté dans le Lot-et-Garonne s’élève à 17,7%</w:t>
      </w:r>
    </w:p>
    <w:p w14:paraId="25116F4F" w14:textId="77777777" w:rsidR="0011119A" w:rsidRDefault="001051AE">
      <w:pPr>
        <w:pStyle w:val="Standard"/>
        <w:spacing w:before="240"/>
      </w:pPr>
      <w:r>
        <w:rPr>
          <w:b/>
          <w:bCs/>
        </w:rPr>
        <w:t>À partir de cette information, votre équipe décide d’approfondir ses recherches et se concentre sur le taux de pauvreté dans les communes de Nérac et d’Agen, les deux choix potentiels pour l’implantation de l’entreprise de Lucas.</w:t>
      </w:r>
    </w:p>
    <w:p w14:paraId="28E7E0EC" w14:textId="77777777" w:rsidR="0011119A" w:rsidRDefault="001051AE">
      <w:pPr>
        <w:pStyle w:val="Paragraphedeliste"/>
        <w:numPr>
          <w:ilvl w:val="0"/>
          <w:numId w:val="12"/>
        </w:numPr>
        <w:spacing w:after="60"/>
        <w:ind w:left="357" w:hanging="357"/>
        <w:contextualSpacing w:val="0"/>
      </w:pPr>
      <w:r>
        <w:rPr>
          <w:b/>
          <w:bCs/>
        </w:rPr>
        <w:t>Identifier la commune possédant le plus fort taux de pauvreté.</w:t>
      </w:r>
    </w:p>
    <w:p w14:paraId="62AC928D" w14:textId="77777777" w:rsidR="0011119A" w:rsidRDefault="001051AE" w:rsidP="00E765A6">
      <w:pPr>
        <w:pStyle w:val="Standard"/>
        <w:spacing w:before="100" w:beforeAutospacing="1" w:after="100" w:afterAutospacing="1"/>
      </w:pPr>
      <w:r>
        <w:t>Le taux de pauvreté est plus important dans la commune d’Agen. En effet, il s’élève à 27 %, contre 19 % dans la commune de Nérac.</w:t>
      </w:r>
    </w:p>
    <w:p w14:paraId="083F8CFA" w14:textId="77777777" w:rsidR="00E765A6" w:rsidRDefault="00E765A6" w:rsidP="00D60406">
      <w:pPr>
        <w:pStyle w:val="Paragraphedeliste"/>
        <w:numPr>
          <w:ilvl w:val="0"/>
          <w:numId w:val="12"/>
        </w:numPr>
        <w:spacing w:after="120"/>
        <w:ind w:left="357" w:hanging="357"/>
        <w:contextualSpacing w:val="0"/>
        <w:rPr>
          <w:b/>
          <w:bCs/>
        </w:rPr>
      </w:pPr>
      <w:r>
        <w:rPr>
          <w:b/>
          <w:bCs/>
        </w:rPr>
        <w:br w:type="page"/>
      </w:r>
    </w:p>
    <w:p w14:paraId="117F1CBE" w14:textId="4688C6CD" w:rsidR="0011119A" w:rsidRDefault="001051AE" w:rsidP="00D60406">
      <w:pPr>
        <w:pStyle w:val="Paragraphedeliste"/>
        <w:numPr>
          <w:ilvl w:val="0"/>
          <w:numId w:val="12"/>
        </w:numPr>
        <w:spacing w:after="120"/>
        <w:ind w:left="357" w:hanging="357"/>
        <w:contextualSpacing w:val="0"/>
      </w:pPr>
      <w:r>
        <w:rPr>
          <w:b/>
          <w:bCs/>
        </w:rPr>
        <w:lastRenderedPageBreak/>
        <w:t>Surligner, dans le document 2, la catégorie la plus touchée par la pauvreté.</w:t>
      </w:r>
    </w:p>
    <w:p w14:paraId="547E5F9E" w14:textId="72784A8E" w:rsidR="0011119A" w:rsidRDefault="001051AE">
      <w:pPr>
        <w:pStyle w:val="Encadrdocumenttitre"/>
      </w:pPr>
      <w:r>
        <w:t>Document 2 </w:t>
      </w:r>
      <w:r w:rsidR="00E765A6">
        <w:t>-</w:t>
      </w:r>
      <w:r>
        <w:t xml:space="preserve"> Taux de pauvreté par statut d'occupation du référent fiscal en 2021</w:t>
      </w:r>
    </w:p>
    <w:tbl>
      <w:tblPr>
        <w:tblW w:w="9572" w:type="dxa"/>
        <w:tblInd w:w="170" w:type="dxa"/>
        <w:tblLayout w:type="fixed"/>
        <w:tblCellMar>
          <w:left w:w="10" w:type="dxa"/>
          <w:right w:w="10" w:type="dxa"/>
        </w:tblCellMar>
        <w:tblLook w:val="04A0" w:firstRow="1" w:lastRow="0" w:firstColumn="1" w:lastColumn="0" w:noHBand="0" w:noVBand="1"/>
      </w:tblPr>
      <w:tblGrid>
        <w:gridCol w:w="4814"/>
        <w:gridCol w:w="4758"/>
      </w:tblGrid>
      <w:tr w:rsidR="0011119A" w14:paraId="606E1B99" w14:textId="77777777">
        <w:tc>
          <w:tcPr>
            <w:tcW w:w="4814" w:type="dxa"/>
            <w:shd w:val="clear" w:color="auto" w:fill="auto"/>
            <w:tcMar>
              <w:top w:w="0" w:type="dxa"/>
              <w:left w:w="108" w:type="dxa"/>
              <w:bottom w:w="0" w:type="dxa"/>
              <w:right w:w="108" w:type="dxa"/>
            </w:tcMar>
          </w:tcPr>
          <w:p w14:paraId="0F270BE4" w14:textId="2B2DBE56" w:rsidR="0011119A" w:rsidRDefault="001051AE" w:rsidP="00E765A6">
            <w:pPr>
              <w:pStyle w:val="Standard"/>
              <w:spacing w:after="60"/>
              <w:jc w:val="center"/>
            </w:pPr>
            <w:r>
              <w:rPr>
                <w:b/>
              </w:rPr>
              <w:t>Commune d’Agen</w:t>
            </w:r>
          </w:p>
          <w:p w14:paraId="67FFD4FC" w14:textId="43B3F35B" w:rsidR="0011119A" w:rsidRDefault="00F13581" w:rsidP="00E765A6">
            <w:pPr>
              <w:pStyle w:val="Standard"/>
              <w:spacing w:after="60"/>
              <w:jc w:val="center"/>
            </w:pPr>
            <w:r>
              <w:rPr>
                <w:noProof/>
              </w:rPr>
              <mc:AlternateContent>
                <mc:Choice Requires="wps">
                  <w:drawing>
                    <wp:anchor distT="0" distB="0" distL="114300" distR="114300" simplePos="0" relativeHeight="251659264" behindDoc="0" locked="0" layoutInCell="1" allowOverlap="1" wp14:anchorId="698BD282" wp14:editId="53D35190">
                      <wp:simplePos x="0" y="0"/>
                      <wp:positionH relativeFrom="column">
                        <wp:posOffset>783751</wp:posOffset>
                      </wp:positionH>
                      <wp:positionV relativeFrom="paragraph">
                        <wp:posOffset>568960</wp:posOffset>
                      </wp:positionV>
                      <wp:extent cx="1360627" cy="263347"/>
                      <wp:effectExtent l="19050" t="19050" r="11430" b="22860"/>
                      <wp:wrapNone/>
                      <wp:docPr id="1" name="Zone de texte 1"/>
                      <wp:cNvGraphicFramePr/>
                      <a:graphic xmlns:a="http://schemas.openxmlformats.org/drawingml/2006/main">
                        <a:graphicData uri="http://schemas.microsoft.com/office/word/2010/wordprocessingShape">
                          <wps:wsp>
                            <wps:cNvSpPr txBox="1"/>
                            <wps:spPr>
                              <a:xfrm>
                                <a:off x="0" y="0"/>
                                <a:ext cx="1360627" cy="263347"/>
                              </a:xfrm>
                              <a:prstGeom prst="rect">
                                <a:avLst/>
                              </a:prstGeom>
                              <a:noFill/>
                              <a:ln w="28575">
                                <a:solidFill>
                                  <a:srgbClr val="FF0000"/>
                                </a:solidFill>
                              </a:ln>
                            </wps:spPr>
                            <wps:txbx>
                              <w:txbxContent>
                                <w:p w14:paraId="1384D46E" w14:textId="77777777" w:rsidR="00F13581" w:rsidRDefault="00F135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98BD282" id="_x0000_t202" coordsize="21600,21600" o:spt="202" path="m,l,21600r21600,l21600,xe">
                      <v:stroke joinstyle="miter"/>
                      <v:path gradientshapeok="t" o:connecttype="rect"/>
                    </v:shapetype>
                    <v:shape id="Zone de texte 1" o:spid="_x0000_s1026" type="#_x0000_t202" style="position:absolute;left:0;text-align:left;margin-left:61.7pt;margin-top:44.8pt;width:107.15pt;height:20.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" filled="f" strokecolor="red" strokeweight="2.25pt">
                      <v:textbox>
                        <w:txbxContent>
                          <w:p w14:paraId="1384D46E" w14:textId="77777777" w:rsidR="00F13581" w:rsidRDefault="00F13581"/>
                        </w:txbxContent>
                      </v:textbox>
                    </v:shape>
                  </w:pict>
                </mc:Fallback>
              </mc:AlternateContent>
            </w:r>
            <w:r w:rsidR="001051AE">
              <w:rPr>
                <w:noProof/>
              </w:rPr>
              <w:drawing>
                <wp:inline distT="0" distB="0" distL="0" distR="0" wp14:anchorId="2E88FC3E" wp14:editId="721D4E87">
                  <wp:extent cx="1396444" cy="1134002"/>
                  <wp:effectExtent l="0" t="0" r="0" b="8998"/>
                  <wp:docPr id="3" name="Image 27" descr="Tableau présentant les taux de pauvreté dans la commune d’Agen selon le statut d’occupation du logement. Le taux de pauvreté est de 8 % pour les propriétaires et de 39 % pour les locataires. Pour l’ensemble de la population, il atteint 27 %."/>
                  <wp:cNvGraphicFramePr/>
                  <a:graphic xmlns:a="http://schemas.openxmlformats.org/drawingml/2006/main">
                    <a:graphicData uri="http://schemas.openxmlformats.org/drawingml/2006/picture">
                      <pic:pic xmlns:pic="http://schemas.openxmlformats.org/drawingml/2006/picture">
                        <pic:nvPicPr>
                          <pic:cNvPr id="3" name="Image 27" descr="Tableau présentant les taux de pauvreté dans la commune d’Agen selon le statut d’occupation du logement. Le taux de pauvreté est de 8 % pour les propriétaires et de 39 % pour les locataires. Pour l’ensemble de la population, il atteint 27 %."/>
                          <pic:cNvPicPr/>
                        </pic:nvPicPr>
                        <pic:blipFill>
                          <a:blip r:embed="rId13">
                            <a:lum/>
                            <a:alphaModFix/>
                          </a:blip>
                          <a:srcRect/>
                          <a:stretch>
                            <a:fillRect/>
                          </a:stretch>
                        </pic:blipFill>
                        <pic:spPr>
                          <a:xfrm>
                            <a:off x="0" y="0"/>
                            <a:ext cx="1396444" cy="1134002"/>
                          </a:xfrm>
                          <a:prstGeom prst="rect">
                            <a:avLst/>
                          </a:prstGeom>
                          <a:noFill/>
                          <a:ln>
                            <a:noFill/>
                            <a:prstDash/>
                          </a:ln>
                        </pic:spPr>
                      </pic:pic>
                    </a:graphicData>
                  </a:graphic>
                </wp:inline>
              </w:drawing>
            </w:r>
          </w:p>
          <w:p w14:paraId="5C9AB95D" w14:textId="77777777" w:rsidR="0011119A" w:rsidRDefault="001051AE">
            <w:pPr>
              <w:pStyle w:val="Standard"/>
              <w:spacing w:after="60"/>
            </w:pPr>
            <w:r w:rsidRPr="00E765A6">
              <w:rPr>
                <w:bCs/>
                <w:sz w:val="18"/>
                <w:szCs w:val="20"/>
              </w:rPr>
              <w:t>Source : Insee-DGFiP-</w:t>
            </w:r>
            <w:proofErr w:type="spellStart"/>
            <w:r w:rsidRPr="00E765A6">
              <w:rPr>
                <w:bCs/>
                <w:sz w:val="18"/>
                <w:szCs w:val="20"/>
              </w:rPr>
              <w:t>Cnaf</w:t>
            </w:r>
            <w:proofErr w:type="spellEnd"/>
            <w:r w:rsidRPr="00E765A6">
              <w:rPr>
                <w:bCs/>
                <w:sz w:val="18"/>
                <w:szCs w:val="20"/>
              </w:rPr>
              <w:t>-</w:t>
            </w:r>
            <w:proofErr w:type="spellStart"/>
            <w:r w:rsidRPr="00E765A6">
              <w:rPr>
                <w:bCs/>
                <w:sz w:val="18"/>
                <w:szCs w:val="20"/>
              </w:rPr>
              <w:t>Cnav-Ccmsa</w:t>
            </w:r>
            <w:proofErr w:type="spellEnd"/>
            <w:r w:rsidRPr="00E765A6">
              <w:rPr>
                <w:bCs/>
                <w:i/>
                <w:iCs/>
                <w:sz w:val="18"/>
                <w:szCs w:val="20"/>
              </w:rPr>
              <w:t>, Fichier localisé social et fiscal (</w:t>
            </w:r>
            <w:proofErr w:type="spellStart"/>
            <w:r w:rsidRPr="00E765A6">
              <w:rPr>
                <w:bCs/>
                <w:i/>
                <w:iCs/>
                <w:sz w:val="18"/>
                <w:szCs w:val="20"/>
              </w:rPr>
              <w:t>Filosofi</w:t>
            </w:r>
            <w:proofErr w:type="spellEnd"/>
            <w:r w:rsidRPr="00E765A6">
              <w:rPr>
                <w:bCs/>
                <w:i/>
                <w:iCs/>
                <w:sz w:val="18"/>
                <w:szCs w:val="20"/>
              </w:rPr>
              <w:t xml:space="preserve">) en géographie au 01/01/2025 – </w:t>
            </w:r>
            <w:hyperlink r:id="rId14" w:anchor="chiffre-cle-8" w:history="1">
              <w:r w:rsidRPr="00E765A6">
                <w:rPr>
                  <w:rStyle w:val="Internetlink"/>
                  <w:bCs/>
                  <w:i/>
                  <w:iCs/>
                  <w:sz w:val="18"/>
                  <w:szCs w:val="20"/>
                </w:rPr>
                <w:t>Dossier complet</w:t>
              </w:r>
            </w:hyperlink>
            <w:r w:rsidRPr="00E765A6">
              <w:rPr>
                <w:bCs/>
                <w:i/>
                <w:iCs/>
                <w:sz w:val="18"/>
                <w:szCs w:val="20"/>
              </w:rPr>
              <w:t xml:space="preserve"> – Commune d’Agen.</w:t>
            </w:r>
          </w:p>
        </w:tc>
        <w:tc>
          <w:tcPr>
            <w:tcW w:w="4758" w:type="dxa"/>
            <w:shd w:val="clear" w:color="auto" w:fill="auto"/>
            <w:tcMar>
              <w:top w:w="0" w:type="dxa"/>
              <w:left w:w="108" w:type="dxa"/>
              <w:bottom w:w="0" w:type="dxa"/>
              <w:right w:w="108" w:type="dxa"/>
            </w:tcMar>
          </w:tcPr>
          <w:p w14:paraId="36C5FB41" w14:textId="641219BD" w:rsidR="0011119A" w:rsidRDefault="001051AE" w:rsidP="00E765A6">
            <w:pPr>
              <w:pStyle w:val="Standard"/>
              <w:spacing w:after="60"/>
              <w:jc w:val="center"/>
            </w:pPr>
            <w:r>
              <w:rPr>
                <w:b/>
              </w:rPr>
              <w:t>Commune de Nérac</w:t>
            </w:r>
          </w:p>
          <w:p w14:paraId="6444B79D" w14:textId="24A62E80" w:rsidR="0011119A" w:rsidRDefault="00F13581" w:rsidP="00E765A6">
            <w:pPr>
              <w:pStyle w:val="Standard"/>
              <w:spacing w:after="60"/>
              <w:jc w:val="center"/>
            </w:pPr>
            <w:r>
              <w:rPr>
                <w:noProof/>
              </w:rPr>
              <mc:AlternateContent>
                <mc:Choice Requires="wps">
                  <w:drawing>
                    <wp:anchor distT="0" distB="0" distL="114300" distR="114300" simplePos="0" relativeHeight="251660288" behindDoc="0" locked="0" layoutInCell="1" allowOverlap="1" wp14:anchorId="1652B487" wp14:editId="7FDD5D6D">
                      <wp:simplePos x="0" y="0"/>
                      <wp:positionH relativeFrom="column">
                        <wp:posOffset>770416</wp:posOffset>
                      </wp:positionH>
                      <wp:positionV relativeFrom="paragraph">
                        <wp:posOffset>546735</wp:posOffset>
                      </wp:positionV>
                      <wp:extent cx="1338681" cy="281584"/>
                      <wp:effectExtent l="19050" t="19050" r="13970" b="23495"/>
                      <wp:wrapNone/>
                      <wp:docPr id="6" name="Zone de texte 6"/>
                      <wp:cNvGraphicFramePr/>
                      <a:graphic xmlns:a="http://schemas.openxmlformats.org/drawingml/2006/main">
                        <a:graphicData uri="http://schemas.microsoft.com/office/word/2010/wordprocessingShape">
                          <wps:wsp>
                            <wps:cNvSpPr txBox="1"/>
                            <wps:spPr>
                              <a:xfrm>
                                <a:off x="0" y="0"/>
                                <a:ext cx="1338681" cy="281584"/>
                              </a:xfrm>
                              <a:prstGeom prst="rect">
                                <a:avLst/>
                              </a:prstGeom>
                              <a:noFill/>
                              <a:ln w="28575">
                                <a:solidFill>
                                  <a:srgbClr val="FF0000"/>
                                </a:solidFill>
                              </a:ln>
                            </wps:spPr>
                            <wps:txbx>
                              <w:txbxContent>
                                <w:p w14:paraId="3B330A82" w14:textId="77777777" w:rsidR="00F13581" w:rsidRDefault="00F13581" w:rsidP="00E765A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52B487" id="Zone de texte 6" o:spid="_x0000_s1027" type="#_x0000_t202" style="position:absolute;left:0;text-align:left;margin-left:60.65pt;margin-top:43.05pt;width:105.4pt;height:2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" filled="f" strokecolor="red" strokeweight="2.25pt">
                      <v:textbox>
                        <w:txbxContent>
                          <w:p w14:paraId="3B330A82" w14:textId="77777777" w:rsidR="00F13581" w:rsidRDefault="00F13581" w:rsidP="00E765A6">
                            <w:pPr>
                              <w:jc w:val="center"/>
                            </w:pPr>
                          </w:p>
                        </w:txbxContent>
                      </v:textbox>
                    </v:shape>
                  </w:pict>
                </mc:Fallback>
              </mc:AlternateContent>
            </w:r>
            <w:r w:rsidR="001051AE">
              <w:rPr>
                <w:noProof/>
              </w:rPr>
              <w:drawing>
                <wp:inline distT="0" distB="0" distL="0" distR="0" wp14:anchorId="68FE29A4" wp14:editId="595F77F3">
                  <wp:extent cx="1338480" cy="1123203"/>
                  <wp:effectExtent l="0" t="0" r="0" b="1270"/>
                  <wp:docPr id="4" name="Image 28" descr="Tableau présentant les taux de pauvreté dans la commune de Nérac selon le statut d’occupation du logement. Le taux de pauvreté est de 9 % pour les propriétaires et de 36 % pour les locataires. Le taux de pauvreté global s’élève à 19 %."/>
                  <wp:cNvGraphicFramePr/>
                  <a:graphic xmlns:a="http://schemas.openxmlformats.org/drawingml/2006/main">
                    <a:graphicData uri="http://schemas.openxmlformats.org/drawingml/2006/picture">
                      <pic:pic xmlns:pic="http://schemas.openxmlformats.org/drawingml/2006/picture">
                        <pic:nvPicPr>
                          <pic:cNvPr id="4" name="Image 28" descr="Tableau présentant les taux de pauvreté dans la commune de Nérac selon le statut d’occupation du logement. Le taux de pauvreté est de 9 % pour les propriétaires et de 36 % pour les locataires. Le taux de pauvreté global s’élève à 19 %."/>
                          <pic:cNvPicPr/>
                        </pic:nvPicPr>
                        <pic:blipFill>
                          <a:blip r:embed="rId15">
                            <a:lum/>
                            <a:alphaModFix/>
                          </a:blip>
                          <a:srcRect/>
                          <a:stretch>
                            <a:fillRect/>
                          </a:stretch>
                        </pic:blipFill>
                        <pic:spPr>
                          <a:xfrm>
                            <a:off x="0" y="0"/>
                            <a:ext cx="1338480" cy="1123203"/>
                          </a:xfrm>
                          <a:prstGeom prst="rect">
                            <a:avLst/>
                          </a:prstGeom>
                          <a:noFill/>
                          <a:ln>
                            <a:noFill/>
                            <a:prstDash/>
                          </a:ln>
                        </pic:spPr>
                      </pic:pic>
                    </a:graphicData>
                  </a:graphic>
                </wp:inline>
              </w:drawing>
            </w:r>
          </w:p>
          <w:p w14:paraId="3B44FB6B" w14:textId="77777777" w:rsidR="0011119A" w:rsidRDefault="001051AE">
            <w:pPr>
              <w:pStyle w:val="Standard"/>
              <w:spacing w:after="60"/>
            </w:pPr>
            <w:r w:rsidRPr="00E765A6">
              <w:rPr>
                <w:bCs/>
                <w:sz w:val="18"/>
                <w:szCs w:val="20"/>
              </w:rPr>
              <w:t>Source : Insee-DGFiP-</w:t>
            </w:r>
            <w:proofErr w:type="spellStart"/>
            <w:r w:rsidRPr="00E765A6">
              <w:rPr>
                <w:bCs/>
                <w:sz w:val="18"/>
                <w:szCs w:val="20"/>
              </w:rPr>
              <w:t>Cnaf</w:t>
            </w:r>
            <w:proofErr w:type="spellEnd"/>
            <w:r w:rsidRPr="00E765A6">
              <w:rPr>
                <w:bCs/>
                <w:sz w:val="18"/>
                <w:szCs w:val="20"/>
              </w:rPr>
              <w:t>-</w:t>
            </w:r>
            <w:proofErr w:type="spellStart"/>
            <w:r w:rsidRPr="00E765A6">
              <w:rPr>
                <w:bCs/>
                <w:sz w:val="18"/>
                <w:szCs w:val="20"/>
              </w:rPr>
              <w:t>Cnav-Ccmsa</w:t>
            </w:r>
            <w:proofErr w:type="spellEnd"/>
            <w:r w:rsidRPr="00E765A6">
              <w:rPr>
                <w:bCs/>
                <w:i/>
                <w:iCs/>
                <w:sz w:val="18"/>
                <w:szCs w:val="20"/>
              </w:rPr>
              <w:t>, Fichier localisé social et fiscal (</w:t>
            </w:r>
            <w:proofErr w:type="spellStart"/>
            <w:r w:rsidRPr="00E765A6">
              <w:rPr>
                <w:bCs/>
                <w:i/>
                <w:iCs/>
                <w:sz w:val="18"/>
                <w:szCs w:val="20"/>
              </w:rPr>
              <w:t>Filosofi</w:t>
            </w:r>
            <w:proofErr w:type="spellEnd"/>
            <w:r w:rsidRPr="00E765A6">
              <w:rPr>
                <w:bCs/>
                <w:i/>
                <w:iCs/>
                <w:sz w:val="18"/>
                <w:szCs w:val="20"/>
              </w:rPr>
              <w:t xml:space="preserve">) en géographie au 01/01/2025 – </w:t>
            </w:r>
            <w:hyperlink r:id="rId16" w:anchor="chiffre-cle-8" w:history="1">
              <w:r w:rsidRPr="00E765A6">
                <w:rPr>
                  <w:rStyle w:val="Internetlink"/>
                  <w:bCs/>
                  <w:i/>
                  <w:iCs/>
                  <w:sz w:val="18"/>
                  <w:szCs w:val="20"/>
                </w:rPr>
                <w:t>Dossier complet</w:t>
              </w:r>
            </w:hyperlink>
            <w:r w:rsidRPr="00E765A6">
              <w:rPr>
                <w:bCs/>
                <w:i/>
                <w:iCs/>
                <w:sz w:val="18"/>
                <w:szCs w:val="20"/>
              </w:rPr>
              <w:t xml:space="preserve"> – Commune de Nérac.</w:t>
            </w:r>
          </w:p>
        </w:tc>
      </w:tr>
    </w:tbl>
    <w:p w14:paraId="706C6C56" w14:textId="77777777" w:rsidR="0011119A" w:rsidRDefault="001051AE" w:rsidP="00D60406">
      <w:pPr>
        <w:pStyle w:val="Standard"/>
        <w:spacing w:before="240" w:after="120"/>
      </w:pPr>
      <w:r>
        <w:rPr>
          <w:b/>
          <w:bCs/>
        </w:rPr>
        <w:t>Votre équipe constate un taux de pauvreté élevé dans le Lot-et-Garonne. Elle se demande si le statut des contrats de travail (CDI, CDD) pourrait, à petite échelle, limiter le niveau de pauvreté.</w:t>
      </w:r>
    </w:p>
    <w:p w14:paraId="0A851F00" w14:textId="77777777" w:rsidR="0011119A" w:rsidRDefault="001051AE">
      <w:pPr>
        <w:pStyle w:val="Paragraphedeliste"/>
        <w:numPr>
          <w:ilvl w:val="0"/>
          <w:numId w:val="12"/>
        </w:numPr>
        <w:spacing w:after="60"/>
        <w:ind w:left="357" w:hanging="357"/>
        <w:contextualSpacing w:val="0"/>
      </w:pPr>
      <w:r>
        <w:rPr>
          <w:b/>
          <w:bCs/>
        </w:rPr>
        <w:t>Rappeler la différence entre un CDD et un CDI.</w:t>
      </w:r>
    </w:p>
    <w:p w14:paraId="3002EAF0" w14:textId="77777777" w:rsidR="0011119A" w:rsidRDefault="001051AE" w:rsidP="00E765A6">
      <w:pPr>
        <w:pStyle w:val="Standard"/>
        <w:spacing w:before="100" w:beforeAutospacing="1" w:after="100" w:afterAutospacing="1"/>
      </w:pPr>
      <w:r>
        <w:t>Le contrat à durée indéterminée (CDI) est un contrat de travail conclu entre un employeur et un salarié, établi sans limitation de durée (seule la date de début du contrat est connue). En revanche, le contrat à durée déterminée est un contrat de travail conclu entre un employeur et un salarié dont les dates de début et de fin de contrat sont connues.</w:t>
      </w:r>
    </w:p>
    <w:p w14:paraId="7AFBCBE8" w14:textId="77777777" w:rsidR="0011119A" w:rsidRDefault="001051AE">
      <w:pPr>
        <w:pStyle w:val="Paragraphedeliste"/>
        <w:numPr>
          <w:ilvl w:val="0"/>
          <w:numId w:val="12"/>
        </w:numPr>
        <w:spacing w:after="60"/>
        <w:ind w:left="357" w:hanging="357"/>
        <w:contextualSpacing w:val="0"/>
      </w:pPr>
      <w:r>
        <w:rPr>
          <w:b/>
          <w:bCs/>
        </w:rPr>
        <w:t>Donner deux inconvénients d’un CDD pour un salarié.</w:t>
      </w:r>
    </w:p>
    <w:p w14:paraId="28CA7181" w14:textId="77777777" w:rsidR="0011119A" w:rsidRDefault="001051AE" w:rsidP="00E765A6">
      <w:pPr>
        <w:pStyle w:val="Standard"/>
        <w:spacing w:before="100" w:beforeAutospacing="1" w:after="100" w:afterAutospacing="1"/>
      </w:pPr>
      <w:r>
        <w:t>Un salarié en CDD est confronté à la précarité : son avenir est incertain. En effet, il peut avoir un contrat de courte durée et, par la suite, être au chômage. Cette situation ne lui permet pas de contracter des crédits pour l’achat d’un logement par exemple.</w:t>
      </w:r>
    </w:p>
    <w:p w14:paraId="79711CD4" w14:textId="77777777" w:rsidR="0011119A" w:rsidRDefault="001051AE">
      <w:pPr>
        <w:pStyle w:val="Paragraphedeliste"/>
        <w:numPr>
          <w:ilvl w:val="0"/>
          <w:numId w:val="12"/>
        </w:numPr>
        <w:spacing w:after="0"/>
        <w:ind w:left="357" w:hanging="357"/>
      </w:pPr>
      <w:r>
        <w:rPr>
          <w:b/>
          <w:bCs/>
        </w:rPr>
        <w:t>Expliquer à Lucas pourquoi le CDI permet de limiter le taux de pauvreté.</w:t>
      </w:r>
    </w:p>
    <w:p w14:paraId="036BEF59" w14:textId="77777777" w:rsidR="0011119A" w:rsidRDefault="001051AE" w:rsidP="00E765A6">
      <w:pPr>
        <w:pStyle w:val="Standard"/>
        <w:spacing w:before="100" w:beforeAutospacing="1" w:after="100" w:afterAutospacing="1"/>
      </w:pPr>
      <w:r>
        <w:t>Le CDI assure aux salariés une stabilité d’emploi grâce à un salaire fixe qui peut être le SMIC ou plus élevé. Les salariés en CDI ont une probabilité moindre d’avoir à alterner les périodes au chômage et celles en emploi. Le risque de faibles revenus et donc d’être sous le seuil de pauvreté est donc moindre pour un salarié en CDI, d’autant plus s’il travaille à temps plein.</w:t>
      </w:r>
    </w:p>
    <w:p w14:paraId="5EC9E666" w14:textId="6EEFE226" w:rsidR="0011119A" w:rsidRDefault="001051AE">
      <w:pPr>
        <w:pStyle w:val="Titre2"/>
      </w:pPr>
      <w:r>
        <w:t>Activité 2 </w:t>
      </w:r>
      <w:r w:rsidR="00E765A6">
        <w:t>-</w:t>
      </w:r>
      <w:r>
        <w:t xml:space="preserve"> Analyser le revenu des ménages</w:t>
      </w:r>
    </w:p>
    <w:p w14:paraId="0298B252" w14:textId="77777777" w:rsidR="0011119A" w:rsidRDefault="001051AE">
      <w:pPr>
        <w:pStyle w:val="Standard"/>
        <w:numPr>
          <w:ilvl w:val="0"/>
          <w:numId w:val="28"/>
        </w:numPr>
        <w:spacing w:after="60"/>
        <w:ind w:left="357" w:hanging="357"/>
      </w:pPr>
      <w:r>
        <w:rPr>
          <w:b/>
          <w:bCs/>
        </w:rPr>
        <w:t>Définir la composition du revenu disponible des ménages</w:t>
      </w:r>
    </w:p>
    <w:p w14:paraId="36FDB068" w14:textId="77777777" w:rsidR="0011119A" w:rsidRDefault="001051AE" w:rsidP="00E765A6">
      <w:pPr>
        <w:pStyle w:val="Standard"/>
        <w:spacing w:before="100" w:beforeAutospacing="1" w:after="60"/>
      </w:pPr>
      <w:r>
        <w:rPr>
          <w:szCs w:val="20"/>
        </w:rPr>
        <w:t>Le revenu disponible des ménages est composé ainsi :</w:t>
      </w:r>
    </w:p>
    <w:p w14:paraId="3D655D9A" w14:textId="77777777" w:rsidR="0011119A" w:rsidRDefault="001051AE">
      <w:pPr>
        <w:pStyle w:val="Standard"/>
        <w:spacing w:after="60"/>
      </w:pPr>
      <w:r>
        <w:rPr>
          <w:szCs w:val="20"/>
        </w:rPr>
        <w:t>Revenus primaires + revenus de transferts – prélèvements obligatoires</w:t>
      </w:r>
    </w:p>
    <w:p w14:paraId="74C4A2ED" w14:textId="77777777" w:rsidR="0011119A" w:rsidRDefault="001051AE">
      <w:pPr>
        <w:pStyle w:val="Paragraphedeliste"/>
        <w:numPr>
          <w:ilvl w:val="0"/>
          <w:numId w:val="29"/>
        </w:numPr>
        <w:spacing w:after="60"/>
      </w:pPr>
      <w:r>
        <w:rPr>
          <w:szCs w:val="20"/>
        </w:rPr>
        <w:t>Revenus primaires : Revenus du travail : salaires, primes + Revenus du capital ou de la propriété (revenus locatifs ou financiers (intérêts bancaires)) + Revenus mixtes : bénéfices de l’entreprise et la rémunération de leur travail (entrepreneurs à leur compte)</w:t>
      </w:r>
    </w:p>
    <w:p w14:paraId="36AB50F7" w14:textId="77777777" w:rsidR="0011119A" w:rsidRDefault="001051AE">
      <w:pPr>
        <w:pStyle w:val="Paragraphedeliste"/>
        <w:numPr>
          <w:ilvl w:val="0"/>
          <w:numId w:val="15"/>
        </w:numPr>
        <w:spacing w:after="60"/>
      </w:pPr>
      <w:r>
        <w:rPr>
          <w:szCs w:val="20"/>
        </w:rPr>
        <w:t>Revenus secondaires ou de transferts : correspondent aux prestations sociales versées par les pouvoirs publics (ex : prime d’activité, allocation chômage, etc.)</w:t>
      </w:r>
    </w:p>
    <w:p w14:paraId="654DD8BD" w14:textId="77777777" w:rsidR="0011119A" w:rsidRDefault="001051AE" w:rsidP="00E765A6">
      <w:pPr>
        <w:pStyle w:val="Paragraphedeliste"/>
        <w:numPr>
          <w:ilvl w:val="0"/>
          <w:numId w:val="30"/>
        </w:numPr>
        <w:spacing w:after="100" w:afterAutospacing="1"/>
      </w:pPr>
      <w:r>
        <w:rPr>
          <w:szCs w:val="20"/>
        </w:rPr>
        <w:t>Prélèvements obligatoires : impôts, taxes et cotisations versées par les particuliers ou les entreprises.</w:t>
      </w:r>
    </w:p>
    <w:p w14:paraId="7680AFA9" w14:textId="77777777" w:rsidR="0011119A" w:rsidRDefault="001051AE" w:rsidP="00E765A6">
      <w:pPr>
        <w:pStyle w:val="Standard"/>
        <w:numPr>
          <w:ilvl w:val="0"/>
          <w:numId w:val="13"/>
        </w:numPr>
        <w:ind w:left="357" w:hanging="357"/>
      </w:pPr>
      <w:r>
        <w:rPr>
          <w:b/>
          <w:bCs/>
          <w:szCs w:val="20"/>
        </w:rPr>
        <w:lastRenderedPageBreak/>
        <w:t>C</w:t>
      </w:r>
      <w:r>
        <w:rPr>
          <w:b/>
          <w:bCs/>
        </w:rPr>
        <w:t>alculer le revenu médian disponible mensuel pour les communes d’Agen et de Nérac. Puis compléter le tableau suivant :</w:t>
      </w:r>
    </w:p>
    <w:tbl>
      <w:tblPr>
        <w:tblW w:w="10096" w:type="dxa"/>
        <w:tblInd w:w="-115"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ayout w:type="fixed"/>
        <w:tblCellMar>
          <w:left w:w="10" w:type="dxa"/>
          <w:right w:w="10" w:type="dxa"/>
        </w:tblCellMar>
        <w:tblLook w:val="04A0" w:firstRow="1" w:lastRow="0" w:firstColumn="1" w:lastColumn="0" w:noHBand="0" w:noVBand="1"/>
      </w:tblPr>
      <w:tblGrid>
        <w:gridCol w:w="2330"/>
        <w:gridCol w:w="2719"/>
        <w:gridCol w:w="2242"/>
        <w:gridCol w:w="2805"/>
      </w:tblGrid>
      <w:tr w:rsidR="0011119A" w14:paraId="2822002F" w14:textId="77777777" w:rsidTr="006E45E9">
        <w:trPr>
          <w:cantSplit/>
          <w:tblHeader/>
        </w:trPr>
        <w:tc>
          <w:tcPr>
            <w:tcW w:w="5049" w:type="dxa"/>
            <w:gridSpan w:val="2"/>
            <w:shd w:val="clear" w:color="auto" w:fill="506C89"/>
            <w:tcMar>
              <w:top w:w="0" w:type="dxa"/>
              <w:left w:w="108" w:type="dxa"/>
              <w:bottom w:w="0" w:type="dxa"/>
              <w:right w:w="108" w:type="dxa"/>
            </w:tcMar>
          </w:tcPr>
          <w:p w14:paraId="41DFE0E7" w14:textId="77777777" w:rsidR="0011119A" w:rsidRPr="006E45E9" w:rsidRDefault="001051AE" w:rsidP="006E45E9">
            <w:pPr>
              <w:pStyle w:val="Standard"/>
              <w:widowControl w:val="0"/>
              <w:snapToGrid w:val="0"/>
              <w:spacing w:before="40" w:after="40" w:line="240" w:lineRule="auto"/>
              <w:ind w:left="57" w:right="57"/>
              <w:jc w:val="center"/>
              <w:outlineLvl w:val="4"/>
              <w:rPr>
                <w:color w:val="FFFFFF" w:themeColor="background1"/>
              </w:rPr>
            </w:pPr>
            <w:r w:rsidRPr="006E45E9">
              <w:rPr>
                <w:rFonts w:ascii="Marianne" w:hAnsi="Marianne"/>
                <w:b/>
                <w:color w:val="FFFFFF" w:themeColor="background1"/>
                <w:spacing w:val="-2"/>
              </w:rPr>
              <w:t>Agen</w:t>
            </w:r>
          </w:p>
        </w:tc>
        <w:tc>
          <w:tcPr>
            <w:tcW w:w="5047" w:type="dxa"/>
            <w:gridSpan w:val="2"/>
            <w:shd w:val="clear" w:color="auto" w:fill="EC8398"/>
            <w:tcMar>
              <w:top w:w="0" w:type="dxa"/>
              <w:left w:w="108" w:type="dxa"/>
              <w:bottom w:w="0" w:type="dxa"/>
              <w:right w:w="108" w:type="dxa"/>
            </w:tcMar>
          </w:tcPr>
          <w:p w14:paraId="44C3D728" w14:textId="77777777" w:rsidR="0011119A" w:rsidRPr="006E45E9" w:rsidRDefault="001051AE" w:rsidP="006E45E9">
            <w:pPr>
              <w:pStyle w:val="Standard"/>
              <w:widowControl w:val="0"/>
              <w:snapToGrid w:val="0"/>
              <w:spacing w:before="40" w:after="40" w:line="240" w:lineRule="auto"/>
              <w:ind w:left="57" w:right="57"/>
              <w:jc w:val="center"/>
              <w:outlineLvl w:val="4"/>
              <w:rPr>
                <w:color w:val="FFFFFF" w:themeColor="background1"/>
              </w:rPr>
            </w:pPr>
            <w:r w:rsidRPr="006E45E9">
              <w:rPr>
                <w:rFonts w:ascii="Marianne" w:hAnsi="Marianne"/>
                <w:b/>
                <w:color w:val="FFFFFF" w:themeColor="background1"/>
                <w:spacing w:val="-2"/>
              </w:rPr>
              <w:t>Nérac</w:t>
            </w:r>
          </w:p>
        </w:tc>
      </w:tr>
      <w:tr w:rsidR="0011119A" w14:paraId="5964C46B" w14:textId="77777777" w:rsidTr="006E45E9">
        <w:trPr>
          <w:cantSplit/>
          <w:trHeight w:val="567"/>
          <w:tblHeader/>
        </w:trPr>
        <w:tc>
          <w:tcPr>
            <w:tcW w:w="2330" w:type="dxa"/>
            <w:shd w:val="clear" w:color="auto" w:fill="506C89"/>
            <w:tcMar>
              <w:top w:w="0" w:type="dxa"/>
              <w:left w:w="108" w:type="dxa"/>
              <w:bottom w:w="0" w:type="dxa"/>
              <w:right w:w="108" w:type="dxa"/>
            </w:tcMar>
            <w:vAlign w:val="center"/>
          </w:tcPr>
          <w:p w14:paraId="3B6DDF12"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Médiane du revenu disponible mensuel</w:t>
            </w:r>
          </w:p>
        </w:tc>
        <w:tc>
          <w:tcPr>
            <w:tcW w:w="2719" w:type="dxa"/>
            <w:shd w:val="clear" w:color="auto" w:fill="auto"/>
            <w:tcMar>
              <w:top w:w="0" w:type="dxa"/>
              <w:left w:w="108" w:type="dxa"/>
              <w:bottom w:w="0" w:type="dxa"/>
              <w:right w:w="108" w:type="dxa"/>
            </w:tcMar>
            <w:vAlign w:val="center"/>
          </w:tcPr>
          <w:p w14:paraId="011380C5" w14:textId="09782FCA" w:rsidR="0011119A" w:rsidRDefault="001051AE">
            <w:pPr>
              <w:pStyle w:val="Standard"/>
              <w:widowControl w:val="0"/>
              <w:spacing w:before="40" w:after="40" w:line="240" w:lineRule="auto"/>
              <w:ind w:left="57" w:right="57"/>
            </w:pPr>
            <w:r>
              <w:rPr>
                <w:rFonts w:eastAsia="Marianne Light" w:cs="Marianne Light"/>
                <w:sz w:val="18"/>
              </w:rPr>
              <w:t>19 160 / 12 = 1 596,</w:t>
            </w:r>
            <w:r w:rsidR="00E803BB">
              <w:rPr>
                <w:rFonts w:eastAsia="Marianne Light" w:cs="Marianne Light"/>
                <w:sz w:val="18"/>
              </w:rPr>
              <w:t>66</w:t>
            </w:r>
            <w:r>
              <w:rPr>
                <w:rFonts w:eastAsia="Marianne Light" w:cs="Marianne Light"/>
                <w:sz w:val="18"/>
              </w:rPr>
              <w:t> €</w:t>
            </w:r>
          </w:p>
        </w:tc>
        <w:tc>
          <w:tcPr>
            <w:tcW w:w="2242" w:type="dxa"/>
            <w:shd w:val="clear" w:color="auto" w:fill="EC8398"/>
            <w:tcMar>
              <w:top w:w="0" w:type="dxa"/>
              <w:left w:w="108" w:type="dxa"/>
              <w:bottom w:w="0" w:type="dxa"/>
              <w:right w:w="108" w:type="dxa"/>
            </w:tcMar>
            <w:vAlign w:val="center"/>
          </w:tcPr>
          <w:p w14:paraId="643FC720"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Médiane du revenu disponible mensuel</w:t>
            </w:r>
          </w:p>
        </w:tc>
        <w:tc>
          <w:tcPr>
            <w:tcW w:w="2805" w:type="dxa"/>
            <w:shd w:val="clear" w:color="auto" w:fill="auto"/>
            <w:tcMar>
              <w:top w:w="0" w:type="dxa"/>
              <w:left w:w="108" w:type="dxa"/>
              <w:bottom w:w="0" w:type="dxa"/>
              <w:right w:w="108" w:type="dxa"/>
            </w:tcMar>
            <w:vAlign w:val="center"/>
          </w:tcPr>
          <w:p w14:paraId="7DC7145A" w14:textId="16CC1B89" w:rsidR="0011119A" w:rsidRDefault="001051AE">
            <w:pPr>
              <w:pStyle w:val="Standard"/>
              <w:widowControl w:val="0"/>
              <w:spacing w:before="40" w:after="40" w:line="240" w:lineRule="auto"/>
              <w:ind w:left="57" w:right="57"/>
            </w:pPr>
            <w:r>
              <w:rPr>
                <w:rFonts w:eastAsia="Marianne Light" w:cs="Marianne Light"/>
                <w:sz w:val="18"/>
              </w:rPr>
              <w:t>21 200 / 12 = 1 766,</w:t>
            </w:r>
            <w:r w:rsidR="00E803BB">
              <w:rPr>
                <w:rFonts w:eastAsia="Marianne Light" w:cs="Marianne Light"/>
                <w:sz w:val="18"/>
              </w:rPr>
              <w:t>6</w:t>
            </w:r>
            <w:r>
              <w:rPr>
                <w:rFonts w:eastAsia="Marianne Light" w:cs="Marianne Light"/>
                <w:sz w:val="18"/>
              </w:rPr>
              <w:t>7 €</w:t>
            </w:r>
          </w:p>
        </w:tc>
      </w:tr>
      <w:tr w:rsidR="0011119A" w14:paraId="77A76946" w14:textId="77777777" w:rsidTr="006E45E9">
        <w:trPr>
          <w:cantSplit/>
          <w:trHeight w:val="567"/>
          <w:tblHeader/>
        </w:trPr>
        <w:tc>
          <w:tcPr>
            <w:tcW w:w="2330" w:type="dxa"/>
            <w:shd w:val="clear" w:color="auto" w:fill="506C89"/>
            <w:tcMar>
              <w:top w:w="0" w:type="dxa"/>
              <w:left w:w="108" w:type="dxa"/>
              <w:bottom w:w="0" w:type="dxa"/>
              <w:right w:w="108" w:type="dxa"/>
            </w:tcMar>
            <w:vAlign w:val="center"/>
          </w:tcPr>
          <w:p w14:paraId="09D0234D"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1</w:t>
            </w:r>
            <w:r w:rsidRPr="006E45E9">
              <w:rPr>
                <w:rFonts w:eastAsia="Marianne Light" w:cs="Marianne Light"/>
                <w:b/>
                <w:bCs/>
                <w:color w:val="FFFFFF" w:themeColor="background1"/>
                <w:sz w:val="18"/>
                <w:vertAlign w:val="superscript"/>
              </w:rPr>
              <w:t>er</w:t>
            </w:r>
            <w:r w:rsidRPr="006E45E9">
              <w:rPr>
                <w:rFonts w:eastAsia="Marianne Light" w:cs="Marianne Light"/>
                <w:b/>
                <w:bCs/>
                <w:color w:val="FFFFFF" w:themeColor="background1"/>
                <w:sz w:val="18"/>
              </w:rPr>
              <w:t xml:space="preserve"> décile</w:t>
            </w:r>
          </w:p>
        </w:tc>
        <w:tc>
          <w:tcPr>
            <w:tcW w:w="2719" w:type="dxa"/>
            <w:shd w:val="clear" w:color="auto" w:fill="auto"/>
            <w:tcMar>
              <w:top w:w="0" w:type="dxa"/>
              <w:left w:w="108" w:type="dxa"/>
              <w:bottom w:w="0" w:type="dxa"/>
              <w:right w:w="108" w:type="dxa"/>
            </w:tcMar>
            <w:vAlign w:val="center"/>
          </w:tcPr>
          <w:p w14:paraId="10E70011" w14:textId="62CE136D" w:rsidR="0011119A" w:rsidRDefault="001051AE">
            <w:pPr>
              <w:pStyle w:val="Standard"/>
              <w:widowControl w:val="0"/>
              <w:spacing w:before="40" w:after="40" w:line="240" w:lineRule="auto"/>
              <w:ind w:left="57" w:right="57"/>
            </w:pPr>
            <w:r>
              <w:rPr>
                <w:rFonts w:eastAsia="Marianne Light" w:cs="Marianne Light"/>
                <w:sz w:val="18"/>
              </w:rPr>
              <w:t>9 990 / 12 = 832,5</w:t>
            </w:r>
            <w:r w:rsidR="00E803BB">
              <w:rPr>
                <w:rFonts w:eastAsia="Marianne Light" w:cs="Marianne Light"/>
                <w:sz w:val="18"/>
              </w:rPr>
              <w:t>0</w:t>
            </w:r>
            <w:r>
              <w:rPr>
                <w:rFonts w:eastAsia="Marianne Light" w:cs="Marianne Light"/>
                <w:sz w:val="18"/>
              </w:rPr>
              <w:t> €</w:t>
            </w:r>
          </w:p>
        </w:tc>
        <w:tc>
          <w:tcPr>
            <w:tcW w:w="2242" w:type="dxa"/>
            <w:shd w:val="clear" w:color="auto" w:fill="EC8398"/>
            <w:tcMar>
              <w:top w:w="0" w:type="dxa"/>
              <w:left w:w="108" w:type="dxa"/>
              <w:bottom w:w="0" w:type="dxa"/>
              <w:right w:w="108" w:type="dxa"/>
            </w:tcMar>
            <w:vAlign w:val="center"/>
          </w:tcPr>
          <w:p w14:paraId="08FA3D68"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1</w:t>
            </w:r>
            <w:r w:rsidRPr="006E45E9">
              <w:rPr>
                <w:rFonts w:eastAsia="Marianne Light" w:cs="Marianne Light"/>
                <w:b/>
                <w:bCs/>
                <w:color w:val="FFFFFF" w:themeColor="background1"/>
                <w:sz w:val="18"/>
                <w:vertAlign w:val="superscript"/>
              </w:rPr>
              <w:t>er</w:t>
            </w:r>
            <w:r w:rsidRPr="006E45E9">
              <w:rPr>
                <w:rFonts w:eastAsia="Marianne Light" w:cs="Marianne Light"/>
                <w:b/>
                <w:bCs/>
                <w:color w:val="FFFFFF" w:themeColor="background1"/>
                <w:sz w:val="18"/>
              </w:rPr>
              <w:t xml:space="preserve"> décile</w:t>
            </w:r>
          </w:p>
        </w:tc>
        <w:tc>
          <w:tcPr>
            <w:tcW w:w="2805" w:type="dxa"/>
            <w:shd w:val="clear" w:color="auto" w:fill="auto"/>
            <w:tcMar>
              <w:top w:w="0" w:type="dxa"/>
              <w:left w:w="108" w:type="dxa"/>
              <w:bottom w:w="0" w:type="dxa"/>
              <w:right w:w="108" w:type="dxa"/>
            </w:tcMar>
            <w:vAlign w:val="center"/>
          </w:tcPr>
          <w:p w14:paraId="03127F39" w14:textId="2F490F91" w:rsidR="0011119A" w:rsidRDefault="001051AE">
            <w:pPr>
              <w:pStyle w:val="Standard"/>
              <w:widowControl w:val="0"/>
              <w:spacing w:before="40" w:after="40" w:line="240" w:lineRule="auto"/>
              <w:ind w:left="57" w:right="57"/>
            </w:pPr>
            <w:r>
              <w:rPr>
                <w:rFonts w:eastAsia="Marianne Light" w:cs="Marianne Light"/>
                <w:sz w:val="18"/>
              </w:rPr>
              <w:t>11 260 / 12 = 938,3</w:t>
            </w:r>
            <w:r w:rsidR="00E803BB">
              <w:rPr>
                <w:rFonts w:eastAsia="Marianne Light" w:cs="Marianne Light"/>
                <w:sz w:val="18"/>
              </w:rPr>
              <w:t>3</w:t>
            </w:r>
            <w:r>
              <w:rPr>
                <w:rFonts w:eastAsia="Marianne Light" w:cs="Marianne Light"/>
                <w:sz w:val="18"/>
              </w:rPr>
              <w:t> €</w:t>
            </w:r>
          </w:p>
        </w:tc>
      </w:tr>
    </w:tbl>
    <w:p w14:paraId="6C7E8BC7" w14:textId="77777777" w:rsidR="0011119A" w:rsidRDefault="001051AE">
      <w:pPr>
        <w:pStyle w:val="Standard"/>
        <w:numPr>
          <w:ilvl w:val="0"/>
          <w:numId w:val="13"/>
        </w:numPr>
        <w:spacing w:before="240" w:after="0"/>
        <w:ind w:left="357" w:hanging="357"/>
      </w:pPr>
      <w:r>
        <w:rPr>
          <w:b/>
          <w:bCs/>
        </w:rPr>
        <w:t>Comparer les revenus disponibles entre les deux communes. Justifier la réponse avec des données chiffrées.</w:t>
      </w:r>
    </w:p>
    <w:p w14:paraId="4DC5510C" w14:textId="00478D80" w:rsidR="0011119A" w:rsidRDefault="001051AE" w:rsidP="00E765A6">
      <w:pPr>
        <w:pStyle w:val="Standard"/>
        <w:spacing w:before="100" w:beforeAutospacing="1" w:after="0"/>
      </w:pPr>
      <w:r>
        <w:t>Le revenu mensuel médian par unité de consommation des habitants de la commune d’Agen est inférieur à celui de la commune de Nérac (1 596,66 € contre 1 766,67 €). Autrement dit, la moitié de la population d’Agen a un revenu disponible inférieur ou égal à 1 596,66 €, alors que la moitié de la population de Nérac a un revenu disponible inférieur ou égal à 1 766,67 €.</w:t>
      </w:r>
    </w:p>
    <w:p w14:paraId="25C307A9" w14:textId="6D2C34BF" w:rsidR="0011119A" w:rsidRDefault="001051AE" w:rsidP="00E765A6">
      <w:pPr>
        <w:pStyle w:val="Standard"/>
        <w:spacing w:after="100" w:afterAutospacing="1"/>
      </w:pPr>
      <w:r>
        <w:t>De plus, 10 % de la population agenaise a un revenu disponible inférieur ou égal à 832,50 €, contre 938,33 € pour 10 % de la population néracaise. On peut en conclure qu’il y a, proportionnellement à la taille de la population, moins d’habitants ayant un très faible revenu à Nérac. Et que pour les ménages aux revenus « intermédiaires », c’est-à-dire dont les revenus se situent au milieu de la distribution des revenus de chaque commune, le revenu est plus élevé à Nérac qu’à Agen. On ne peut en revanche rien en déduire concernant le niveau de revenus dans le haut de la distribution des revenus, en particulier sur le niveau de revenus des 10 % de la population de chaque commune aux plus hauts revenus.</w:t>
      </w:r>
    </w:p>
    <w:p w14:paraId="7CDC93C0" w14:textId="77777777" w:rsidR="0011119A" w:rsidRDefault="001051AE">
      <w:pPr>
        <w:pStyle w:val="Standard"/>
      </w:pPr>
      <w:r>
        <w:rPr>
          <w:b/>
          <w:bCs/>
        </w:rPr>
        <w:t>Votre équipe décide de compléter l’analyse du revenu disponible pour les communes d’Agen et de Nérac : elle analyse le salaire net moyen sur les deux communes.</w:t>
      </w:r>
    </w:p>
    <w:p w14:paraId="351D345F" w14:textId="77777777" w:rsidR="0011119A" w:rsidRDefault="001051AE">
      <w:pPr>
        <w:pStyle w:val="Standard"/>
        <w:numPr>
          <w:ilvl w:val="0"/>
          <w:numId w:val="13"/>
        </w:numPr>
        <w:spacing w:after="60"/>
        <w:ind w:left="357" w:hanging="357"/>
      </w:pPr>
      <w:r>
        <w:rPr>
          <w:b/>
          <w:bCs/>
        </w:rPr>
        <w:t>Indiquer la tranche d’âge avec le plus faible salaire net mensuel moyen.</w:t>
      </w:r>
    </w:p>
    <w:p w14:paraId="3C6EF1A9" w14:textId="77777777" w:rsidR="0011119A" w:rsidRDefault="001051AE" w:rsidP="00E765A6">
      <w:pPr>
        <w:pStyle w:val="Standard"/>
        <w:spacing w:before="100" w:beforeAutospacing="1" w:after="100" w:afterAutospacing="1"/>
      </w:pPr>
      <w:r>
        <w:t>Les moins de 25 ans ont le salaire net mensuel moyen le plus faible par rapport aux autres tranches d’âges, tant dans la commune d’Agen que dans celle de Nérac. Il s’élève à 1 761,1 € pour la commune d’Agen et est plus bas encore sur la commune de Nérac : 1 705,7 €.</w:t>
      </w:r>
    </w:p>
    <w:p w14:paraId="0739AF5F" w14:textId="77777777" w:rsidR="0011119A" w:rsidRDefault="001051AE">
      <w:pPr>
        <w:pStyle w:val="Standard"/>
        <w:numPr>
          <w:ilvl w:val="0"/>
          <w:numId w:val="13"/>
        </w:numPr>
        <w:spacing w:after="60"/>
        <w:ind w:left="357" w:hanging="357"/>
      </w:pPr>
      <w:r>
        <w:rPr>
          <w:b/>
          <w:bCs/>
        </w:rPr>
        <w:t>Comparer le salaire net mensuel moyen entre les hommes et les femmes.</w:t>
      </w:r>
      <w:bookmarkStart w:id="3" w:name="_5dl1up3be01i"/>
      <w:bookmarkEnd w:id="3"/>
    </w:p>
    <w:p w14:paraId="4B099438" w14:textId="77777777" w:rsidR="0011119A" w:rsidRDefault="001051AE" w:rsidP="00E765A6">
      <w:pPr>
        <w:pStyle w:val="Standard"/>
        <w:spacing w:before="100" w:beforeAutospacing="1" w:after="100" w:afterAutospacing="1"/>
      </w:pPr>
      <w:r>
        <w:t>Le salaire net mensuel moyen des femmes est inférieur à celui des hommes, quelles que soient les tranches d’âge et la commune. Les écarts de salaire sont compris entre 106 € et 302,9 € pour la commune d’Agen et entre 69,6 € et 566,9 € pour la commune de Nérac. L’écart de salaire entre les hommes et les femmes le moins important concerne la tranche des moins de 25 ans.</w:t>
      </w:r>
    </w:p>
    <w:p w14:paraId="498817D6" w14:textId="77777777" w:rsidR="0011119A" w:rsidRDefault="001051AE">
      <w:pPr>
        <w:pStyle w:val="Standard"/>
        <w:numPr>
          <w:ilvl w:val="0"/>
          <w:numId w:val="13"/>
        </w:numPr>
        <w:spacing w:after="60"/>
        <w:ind w:left="357" w:hanging="357"/>
      </w:pPr>
      <w:r>
        <w:rPr>
          <w:b/>
          <w:bCs/>
        </w:rPr>
        <w:t>Rappeler à Lucas l’obligation légale qui incombe à l’employeur concernant la fixation des salaires.</w:t>
      </w:r>
    </w:p>
    <w:p w14:paraId="05075160" w14:textId="77777777" w:rsidR="0011119A" w:rsidRDefault="001051AE" w:rsidP="00E765A6">
      <w:pPr>
        <w:pStyle w:val="Standard"/>
        <w:spacing w:before="100" w:beforeAutospacing="1" w:after="100" w:afterAutospacing="1"/>
      </w:pPr>
      <w:r>
        <w:t>Lors de la fixation des salaires, l’employeur doit fixer un salaire supérieur ou égal au salaire minimum appelé SMIC (salaire minimum interprofessionnel de croissance).</w:t>
      </w:r>
    </w:p>
    <w:p w14:paraId="04C9812F" w14:textId="77777777" w:rsidR="0011119A" w:rsidRDefault="001051AE">
      <w:pPr>
        <w:pStyle w:val="Standard"/>
        <w:numPr>
          <w:ilvl w:val="0"/>
          <w:numId w:val="13"/>
        </w:numPr>
        <w:spacing w:after="60"/>
        <w:ind w:left="357" w:hanging="357"/>
      </w:pPr>
      <w:r>
        <w:rPr>
          <w:b/>
          <w:bCs/>
        </w:rPr>
        <w:t>Indiquer si une proposition d’un SMIC à 1 443,11 € net (montant au 1</w:t>
      </w:r>
      <w:r>
        <w:rPr>
          <w:b/>
          <w:bCs/>
          <w:vertAlign w:val="superscript"/>
        </w:rPr>
        <w:t>er</w:t>
      </w:r>
      <w:r>
        <w:rPr>
          <w:b/>
          <w:bCs/>
        </w:rPr>
        <w:t xml:space="preserve"> janvier 2026) pourrait attirer des candidats.</w:t>
      </w:r>
    </w:p>
    <w:p w14:paraId="416D891E" w14:textId="77777777" w:rsidR="0011119A" w:rsidRDefault="001051AE" w:rsidP="00E765A6">
      <w:pPr>
        <w:pStyle w:val="Standard"/>
        <w:spacing w:before="100" w:beforeAutospacing="1" w:after="100" w:afterAutospacing="1"/>
      </w:pPr>
      <w:r>
        <w:t xml:space="preserve">On remarque que le SMIC mensuel à 1 443,11€ se situe au-dessous de la médiane du revenu disponible mensuel par unité de consommation de la commune d’Agen (1 596,7 €) et de celle de la </w:t>
      </w:r>
      <w:r>
        <w:lastRenderedPageBreak/>
        <w:t>commune de Nérac (1 766,7 €). Il est également inférieur aux salaires mensuels moyens des différentes tranches d’âge de la commune d’Agen comme de la commune de Nérac. Proposer un poste avec un SMIC à 1 443,11€ net risque de ne pas attirer suffisamment de candidats ayant les compétences pour les postes proposés. En effet, un tel niveau de salaire ne permet pas forcément de disposer d’un revenu disponible supérieur au seuil de pauvreté, qui était de 1 288 € en 2023 : si la personne percevant ce salaire vit seule, alors son revenu est bien supérieur au seuil de pauvreté ; mais si elle vit en couple, avec ou sans enfants, et que ce salaire est le seul revenu du ménage, alors celui-ci se situera sous le seuil de pauvreté.</w:t>
      </w:r>
    </w:p>
    <w:p w14:paraId="223221B6" w14:textId="221966A6" w:rsidR="0011119A" w:rsidRDefault="001051AE">
      <w:pPr>
        <w:pStyle w:val="Standard"/>
        <w:numPr>
          <w:ilvl w:val="0"/>
          <w:numId w:val="13"/>
        </w:numPr>
        <w:spacing w:after="0"/>
        <w:ind w:left="357" w:hanging="357"/>
        <w:contextualSpacing/>
      </w:pPr>
      <w:r>
        <w:rPr>
          <w:b/>
          <w:bCs/>
        </w:rPr>
        <w:t>Proposer à Lucas un intervalle de salaire net mensuel</w:t>
      </w:r>
      <w:r w:rsidR="00702D64">
        <w:rPr>
          <w:b/>
          <w:bCs/>
        </w:rPr>
        <w:t xml:space="preserve"> attractif</w:t>
      </w:r>
      <w:r>
        <w:rPr>
          <w:b/>
          <w:bCs/>
        </w:rPr>
        <w:t xml:space="preserve">. Justifier la réponse avec des données chiffrées. </w:t>
      </w:r>
    </w:p>
    <w:p w14:paraId="3E462821" w14:textId="77777777" w:rsidR="007F784D" w:rsidRDefault="001051AE" w:rsidP="00E765A6">
      <w:pPr>
        <w:pStyle w:val="Standard"/>
        <w:spacing w:before="100" w:beforeAutospacing="1" w:after="100" w:afterAutospacing="1"/>
      </w:pPr>
      <w:r>
        <w:t>Pour proposer un intervalle de salaire net mensuel</w:t>
      </w:r>
      <w:r w:rsidR="00702D64">
        <w:t xml:space="preserve"> attractif</w:t>
      </w:r>
      <w:r>
        <w:t xml:space="preserve">, il est </w:t>
      </w:r>
      <w:r w:rsidR="00D40410">
        <w:t>souhaitable</w:t>
      </w:r>
      <w:r>
        <w:t xml:space="preserve"> de prendre en compte le revenu disponible mensuel médian par unité de consommation de la commune d’Agen à 1 596,7€ et de la commune de Nérac à 1 766,7 €, ainsi que le salaire mensuel moyen le plus bas dans les deux communes : pour Nérac, 1 705,7 €, et pour Agen, 1 761,1 €. Ainsi, il serait judicieux de proposer un intervalle de salaire net moyen entre 1 596,7 € et 1 761,1 € pour la commune d’Agen, et entre 1 705,7 € et 1 76</w:t>
      </w:r>
      <w:r w:rsidR="002F2B3B">
        <w:t>6</w:t>
      </w:r>
      <w:r>
        <w:t>,</w:t>
      </w:r>
      <w:r w:rsidR="002F2B3B">
        <w:t>7</w:t>
      </w:r>
      <w:r>
        <w:t> € pour la commune de Nérac.</w:t>
      </w:r>
    </w:p>
    <w:p w14:paraId="7844067A" w14:textId="0C5F477C" w:rsidR="0011119A" w:rsidRDefault="007F784D" w:rsidP="00E765A6">
      <w:pPr>
        <w:pStyle w:val="Standard"/>
        <w:spacing w:after="100" w:afterAutospacing="1"/>
      </w:pPr>
      <w:r w:rsidRPr="00E765A6">
        <w:rPr>
          <w:b/>
          <w:bCs/>
        </w:rPr>
        <w:t>Cependant</w:t>
      </w:r>
      <w:r>
        <w:t>, l</w:t>
      </w:r>
      <w:r w:rsidRPr="007F784D">
        <w:t>es emplois proposés par Lucas sont des emplois à faible qualification et c’est donc difficilement envisageable que les salaires associés soient nettement plus élevés que le SMIC et supérieurs au revenu médian : c’est bien sûr souhaitable à des fins d’attractivité, mais en termes de pérennité de l’entreprise cela ne l’est pas.</w:t>
      </w:r>
    </w:p>
    <w:p w14:paraId="64B95B79" w14:textId="08092AD4" w:rsidR="0011119A" w:rsidRDefault="001051AE">
      <w:pPr>
        <w:pStyle w:val="Titre2"/>
      </w:pPr>
      <w:r>
        <w:t>Activité 3 </w:t>
      </w:r>
      <w:r w:rsidR="00E765A6">
        <w:t>-</w:t>
      </w:r>
      <w:r>
        <w:t xml:space="preserve"> Analyser la consommation des ménages</w:t>
      </w:r>
    </w:p>
    <w:p w14:paraId="35F71330" w14:textId="77777777" w:rsidR="0011119A" w:rsidRDefault="001051AE">
      <w:pPr>
        <w:pStyle w:val="Standard"/>
        <w:numPr>
          <w:ilvl w:val="0"/>
          <w:numId w:val="31"/>
        </w:numPr>
        <w:spacing w:before="240" w:after="60"/>
      </w:pPr>
      <w:r>
        <w:rPr>
          <w:b/>
          <w:bCs/>
        </w:rPr>
        <w:t>Identifier les trois postes de consommation les plus élevés.</w:t>
      </w:r>
    </w:p>
    <w:p w14:paraId="62A7F74C" w14:textId="77777777" w:rsidR="0011119A" w:rsidRDefault="001051AE" w:rsidP="00E765A6">
      <w:pPr>
        <w:pStyle w:val="Standard"/>
        <w:spacing w:before="100" w:beforeAutospacing="1" w:after="0"/>
      </w:pPr>
      <w:r>
        <w:t>Les 3 postes de consommation les plus élevés sont :</w:t>
      </w:r>
    </w:p>
    <w:p w14:paraId="60C6F6CC" w14:textId="77777777" w:rsidR="0011119A" w:rsidRDefault="001051AE">
      <w:pPr>
        <w:pStyle w:val="Standard"/>
        <w:numPr>
          <w:ilvl w:val="0"/>
          <w:numId w:val="32"/>
        </w:numPr>
        <w:spacing w:after="0"/>
        <w:contextualSpacing/>
      </w:pPr>
      <w:r>
        <w:t>Le logement, chauffage, éclairage (27,8 %)</w:t>
      </w:r>
    </w:p>
    <w:p w14:paraId="4BF6E84B" w14:textId="77777777" w:rsidR="0011119A" w:rsidRDefault="001051AE">
      <w:pPr>
        <w:pStyle w:val="Standard"/>
        <w:numPr>
          <w:ilvl w:val="0"/>
          <w:numId w:val="17"/>
        </w:numPr>
        <w:spacing w:after="0"/>
        <w:contextualSpacing/>
      </w:pPr>
      <w:r>
        <w:t>Le transport (12,7 %)</w:t>
      </w:r>
    </w:p>
    <w:p w14:paraId="5A3A6C92" w14:textId="77777777" w:rsidR="0011119A" w:rsidRDefault="001051AE">
      <w:pPr>
        <w:pStyle w:val="Standard"/>
        <w:numPr>
          <w:ilvl w:val="0"/>
          <w:numId w:val="17"/>
        </w:numPr>
        <w:spacing w:after="0"/>
        <w:contextualSpacing/>
      </w:pPr>
      <w:r>
        <w:t>Alimentation et boissons non alcoolisées (12,3 %)</w:t>
      </w:r>
    </w:p>
    <w:p w14:paraId="0E640964" w14:textId="77777777" w:rsidR="0011119A" w:rsidRDefault="001051AE" w:rsidP="00E765A6">
      <w:pPr>
        <w:pStyle w:val="Standard"/>
        <w:spacing w:after="100" w:afterAutospacing="1"/>
      </w:pPr>
      <w:r>
        <w:rPr>
          <w:i/>
        </w:rPr>
        <w:t>Ne pas prendre en compte « autres biens et services » car ce poste de consommation englobe plusieurs catégories : habillement, chaussures, boissons alcoolisées, tabac, communications et tourisme</w:t>
      </w:r>
      <w:r>
        <w:t>.</w:t>
      </w:r>
    </w:p>
    <w:p w14:paraId="5DC02414" w14:textId="77777777" w:rsidR="00E765A6" w:rsidRDefault="00E765A6">
      <w:pPr>
        <w:widowControl w:val="0"/>
        <w:autoSpaceDN w:val="0"/>
        <w:spacing w:after="0" w:line="240" w:lineRule="auto"/>
        <w:textAlignment w:val="baseline"/>
        <w:rPr>
          <w:rFonts w:eastAsia="Cambria" w:cs="Calibri"/>
          <w:b/>
          <w:bCs/>
        </w:rPr>
      </w:pPr>
      <w:r>
        <w:rPr>
          <w:b/>
          <w:bCs/>
        </w:rPr>
        <w:br w:type="page"/>
      </w:r>
    </w:p>
    <w:p w14:paraId="6C64AB87" w14:textId="30D7B178" w:rsidR="0011119A" w:rsidRDefault="001051AE" w:rsidP="00E765A6">
      <w:pPr>
        <w:pStyle w:val="Standard"/>
        <w:numPr>
          <w:ilvl w:val="0"/>
          <w:numId w:val="18"/>
        </w:numPr>
        <w:ind w:left="357" w:hanging="357"/>
      </w:pPr>
      <w:r>
        <w:rPr>
          <w:b/>
          <w:bCs/>
        </w:rPr>
        <w:lastRenderedPageBreak/>
        <w:t>À partir des deux salaires ci-dessous, calculer les dépenses en euros pour chaque poste de consommation, en tenant compte du fait que les Français épargnent en moyenne 18,4 % de leur revenu au troisième trimestre 2025 (</w:t>
      </w:r>
      <w:r>
        <w:rPr>
          <w:b/>
          <w:bCs/>
          <w:i/>
          <w:iCs/>
        </w:rPr>
        <w:t xml:space="preserve">Source : Insee, </w:t>
      </w:r>
      <w:hyperlink r:id="rId17" w:history="1">
        <w:r>
          <w:rPr>
            <w:b/>
            <w:bCs/>
            <w:i/>
            <w:iCs/>
            <w:color w:val="0000FF"/>
            <w:u w:val="single"/>
          </w:rPr>
          <w:t>Comptes nationaux trimestriels au troisième trimestre 2025</w:t>
        </w:r>
      </w:hyperlink>
      <w:r>
        <w:t>).</w:t>
      </w:r>
    </w:p>
    <w:tbl>
      <w:tblPr>
        <w:tblW w:w="9466" w:type="dxa"/>
        <w:tblInd w:w="-110" w:type="dxa"/>
        <w:tblLayout w:type="fixed"/>
        <w:tblCellMar>
          <w:left w:w="10" w:type="dxa"/>
          <w:right w:w="10" w:type="dxa"/>
        </w:tblCellMar>
        <w:tblLook w:val="04A0" w:firstRow="1" w:lastRow="0" w:firstColumn="1" w:lastColumn="0" w:noHBand="0" w:noVBand="1"/>
      </w:tblPr>
      <w:tblGrid>
        <w:gridCol w:w="2660"/>
        <w:gridCol w:w="3402"/>
        <w:gridCol w:w="3404"/>
      </w:tblGrid>
      <w:tr w:rsidR="006E45E9" w:rsidRPr="006E45E9" w14:paraId="0A60A422"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6D153813" w14:textId="77777777" w:rsidR="0011119A" w:rsidRPr="006E45E9" w:rsidRDefault="0011119A">
            <w:pPr>
              <w:pStyle w:val="Standard"/>
              <w:widowControl w:val="0"/>
              <w:snapToGrid w:val="0"/>
              <w:spacing w:before="40" w:after="40" w:line="240" w:lineRule="auto"/>
              <w:ind w:left="57" w:right="57"/>
              <w:contextualSpacing/>
              <w:outlineLvl w:val="4"/>
              <w:rPr>
                <w:color w:val="FFFFFF" w:themeColor="background1"/>
              </w:rPr>
            </w:pPr>
          </w:p>
        </w:tc>
        <w:tc>
          <w:tcPr>
            <w:tcW w:w="3402"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62152F9B" w14:textId="77777777" w:rsidR="0011119A" w:rsidRPr="006E45E9" w:rsidRDefault="001051AE">
            <w:pPr>
              <w:pStyle w:val="Standard"/>
              <w:widowControl w:val="0"/>
              <w:snapToGrid w:val="0"/>
              <w:spacing w:before="40" w:after="40" w:line="240" w:lineRule="auto"/>
              <w:ind w:left="57" w:right="57"/>
              <w:contextualSpacing/>
              <w:outlineLvl w:val="4"/>
              <w:rPr>
                <w:color w:val="FFFFFF" w:themeColor="background1"/>
              </w:rPr>
            </w:pPr>
            <w:r w:rsidRPr="006E45E9">
              <w:rPr>
                <w:rFonts w:ascii="Marianne" w:hAnsi="Marianne"/>
                <w:b/>
                <w:color w:val="FFFFFF" w:themeColor="background1"/>
                <w:spacing w:val="-2"/>
              </w:rPr>
              <w:t>Dépenses (situation 1)</w:t>
            </w:r>
          </w:p>
        </w:tc>
        <w:tc>
          <w:tcPr>
            <w:tcW w:w="3404"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61D02D24" w14:textId="77777777" w:rsidR="0011119A" w:rsidRPr="006E45E9" w:rsidRDefault="001051AE">
            <w:pPr>
              <w:pStyle w:val="Standard"/>
              <w:widowControl w:val="0"/>
              <w:snapToGrid w:val="0"/>
              <w:spacing w:before="40" w:after="40" w:line="240" w:lineRule="auto"/>
              <w:ind w:left="57" w:right="57"/>
              <w:contextualSpacing/>
              <w:outlineLvl w:val="4"/>
              <w:rPr>
                <w:color w:val="FFFFFF" w:themeColor="background1"/>
              </w:rPr>
            </w:pPr>
            <w:r w:rsidRPr="006E45E9">
              <w:rPr>
                <w:rFonts w:ascii="Marianne" w:hAnsi="Marianne"/>
                <w:b/>
                <w:color w:val="FFFFFF" w:themeColor="background1"/>
                <w:spacing w:val="-2"/>
              </w:rPr>
              <w:t>Dépenses (situation 2)</w:t>
            </w:r>
          </w:p>
        </w:tc>
      </w:tr>
      <w:tr w:rsidR="0011119A" w14:paraId="299903C7"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38856EF7"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i/>
                <w:iCs/>
                <w:color w:val="FFFFFF" w:themeColor="background1"/>
                <w:sz w:val="18"/>
              </w:rPr>
              <w:t>Salaire net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EBF90" w14:textId="77777777" w:rsidR="0011119A" w:rsidRDefault="001051AE">
            <w:pPr>
              <w:pStyle w:val="Standard"/>
              <w:widowControl w:val="0"/>
              <w:spacing w:before="40" w:after="40" w:line="240" w:lineRule="auto"/>
              <w:ind w:left="57" w:right="57"/>
            </w:pPr>
            <w:bookmarkStart w:id="4" w:name="_4i34152xb5a4"/>
            <w:bookmarkEnd w:id="4"/>
            <w:r>
              <w:rPr>
                <w:rFonts w:eastAsia="Marianne Light" w:cs="Marianne Light"/>
                <w:b/>
                <w:i/>
                <w:iCs/>
                <w:color w:val="231F20"/>
                <w:sz w:val="18"/>
              </w:rPr>
              <w:t>1 443,11 €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7DC3D" w14:textId="77777777" w:rsidR="0011119A" w:rsidRDefault="001051AE">
            <w:pPr>
              <w:pStyle w:val="Standard"/>
              <w:widowControl w:val="0"/>
              <w:spacing w:before="40" w:after="40" w:line="240" w:lineRule="auto"/>
              <w:ind w:left="57" w:right="57"/>
            </w:pPr>
            <w:r>
              <w:rPr>
                <w:rFonts w:eastAsia="Marianne Light" w:cs="Marianne Light"/>
                <w:b/>
                <w:i/>
                <w:iCs/>
                <w:color w:val="231F20"/>
                <w:sz w:val="18"/>
              </w:rPr>
              <w:t>1 761,10 €</w:t>
            </w:r>
          </w:p>
        </w:tc>
      </w:tr>
      <w:tr w:rsidR="0011119A" w14:paraId="44759F81"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6E32A72E"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Épargne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49144"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1 443,11 </w:t>
            </w:r>
            <w:r w:rsidRPr="00646C5C">
              <w:rPr>
                <w:rFonts w:eastAsia="Marianne Light" w:cs="Times New Roman"/>
                <w:sz w:val="18"/>
              </w:rPr>
              <w:t xml:space="preserve">× </w:t>
            </w:r>
            <w:r w:rsidRPr="00646C5C">
              <w:rPr>
                <w:rFonts w:eastAsia="Marianne Light" w:cs="Marianne Light"/>
                <w:sz w:val="18"/>
              </w:rPr>
              <w:t>0,184 = 265,53 €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5936D" w14:textId="27748E8D"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1 761,10 </w:t>
            </w:r>
            <w:r w:rsidRPr="00646C5C">
              <w:rPr>
                <w:rFonts w:eastAsia="Marianne Light" w:cs="Times New Roman"/>
                <w:sz w:val="18"/>
              </w:rPr>
              <w:t xml:space="preserve">× </w:t>
            </w:r>
            <w:r w:rsidRPr="00646C5C">
              <w:rPr>
                <w:rFonts w:eastAsia="Marianne Light" w:cs="Marianne Light"/>
                <w:sz w:val="18"/>
              </w:rPr>
              <w:t>0,184 = 324,04 €</w:t>
            </w:r>
          </w:p>
        </w:tc>
      </w:tr>
      <w:tr w:rsidR="0011119A" w14:paraId="7BE6BB99"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6F74E8B5"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Solde du salaire dépensé</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06794"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1 443,11 - 265,53 = 1 177,58 €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29479"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1 761,10 - 324,04 = 1 437,06 €</w:t>
            </w:r>
          </w:p>
        </w:tc>
      </w:tr>
      <w:tr w:rsidR="0011119A" w14:paraId="07BFAF84"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5DB7CE06"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Logement, chauffage, éclairage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79651"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1 177,58 </w:t>
            </w:r>
            <w:r w:rsidRPr="00646C5C">
              <w:rPr>
                <w:rFonts w:eastAsia="Marianne Light" w:cs="Times New Roman"/>
                <w:sz w:val="18"/>
              </w:rPr>
              <w:t xml:space="preserve">× </w:t>
            </w:r>
            <w:r w:rsidRPr="00646C5C">
              <w:rPr>
                <w:rFonts w:eastAsia="Marianne Light" w:cs="Marianne Light"/>
                <w:sz w:val="18"/>
              </w:rPr>
              <w:t>0,278 = 327,37 €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8EF8"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1 437,06 </w:t>
            </w:r>
            <w:r w:rsidRPr="00646C5C">
              <w:rPr>
                <w:rFonts w:eastAsia="Marianne Light" w:cs="Times New Roman"/>
                <w:sz w:val="18"/>
              </w:rPr>
              <w:t xml:space="preserve">× </w:t>
            </w:r>
            <w:r w:rsidRPr="00646C5C">
              <w:rPr>
                <w:rFonts w:eastAsia="Marianne Light" w:cs="Marianne Light"/>
                <w:sz w:val="18"/>
              </w:rPr>
              <w:t>0,278 = 399,50 €</w:t>
            </w:r>
          </w:p>
        </w:tc>
      </w:tr>
      <w:tr w:rsidR="0011119A" w14:paraId="204EBE5F"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5FBD1253"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Transports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4DCE8"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1 177,58 </w:t>
            </w:r>
            <w:r w:rsidRPr="00646C5C">
              <w:rPr>
                <w:rFonts w:eastAsia="Marianne Light" w:cs="Times New Roman"/>
                <w:sz w:val="18"/>
              </w:rPr>
              <w:t xml:space="preserve">× </w:t>
            </w:r>
            <w:r w:rsidRPr="00646C5C">
              <w:rPr>
                <w:rFonts w:eastAsia="Marianne Light" w:cs="Marianne Light"/>
                <w:sz w:val="18"/>
              </w:rPr>
              <w:t>0,127 = 149,55 €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B998E" w14:textId="0AA43244"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1 437,06 </w:t>
            </w:r>
            <w:r w:rsidRPr="00646C5C">
              <w:rPr>
                <w:rFonts w:eastAsia="Marianne Light" w:cs="Times New Roman"/>
                <w:sz w:val="18"/>
              </w:rPr>
              <w:t>× 0,127 = 182,51 €</w:t>
            </w:r>
          </w:p>
        </w:tc>
      </w:tr>
      <w:tr w:rsidR="0011119A" w14:paraId="26B645CD"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07E9F791"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Autres biens et services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B19DE"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1 177,58 </w:t>
            </w:r>
            <w:r w:rsidRPr="00646C5C">
              <w:rPr>
                <w:rFonts w:eastAsia="Marianne Light" w:cs="Times New Roman"/>
                <w:sz w:val="18"/>
              </w:rPr>
              <w:t xml:space="preserve">× </w:t>
            </w:r>
            <w:r w:rsidRPr="00646C5C">
              <w:rPr>
                <w:rFonts w:eastAsia="Marianne Light" w:cs="Marianne Light"/>
                <w:sz w:val="18"/>
              </w:rPr>
              <w:t>0,232 = 273,20 €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C2939" w14:textId="75B061C8"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1 437,06 </w:t>
            </w:r>
            <w:r w:rsidRPr="00646C5C">
              <w:rPr>
                <w:rFonts w:eastAsia="Marianne Light" w:cs="Times New Roman"/>
                <w:sz w:val="18"/>
              </w:rPr>
              <w:t>× 0,232 = 333,40 €</w:t>
            </w:r>
          </w:p>
        </w:tc>
      </w:tr>
      <w:tr w:rsidR="0011119A" w14:paraId="5ED39D8B"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39A09800"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Alimentations, boissons non alcoolisées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3F943" w14:textId="3D8D6D8C"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1 177,58 </w:t>
            </w:r>
            <w:r w:rsidRPr="00646C5C">
              <w:rPr>
                <w:rFonts w:eastAsia="Marianne Light" w:cs="Times New Roman"/>
                <w:sz w:val="18"/>
              </w:rPr>
              <w:t xml:space="preserve">× </w:t>
            </w:r>
            <w:r w:rsidRPr="00646C5C">
              <w:rPr>
                <w:rFonts w:eastAsia="Marianne Light" w:cs="Marianne Light"/>
                <w:sz w:val="18"/>
              </w:rPr>
              <w:t>0,127 = 149,55 €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E6133"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1 437,06 </w:t>
            </w:r>
            <w:r w:rsidRPr="00646C5C">
              <w:rPr>
                <w:rFonts w:eastAsia="Marianne Light" w:cs="Times New Roman"/>
                <w:sz w:val="18"/>
              </w:rPr>
              <w:t>× 0,127 = 182,51 €</w:t>
            </w:r>
          </w:p>
        </w:tc>
      </w:tr>
      <w:tr w:rsidR="0011119A" w14:paraId="58472373"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774FCA4A"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Hôtels, cafés et restaurants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06F32"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1 177,58 </w:t>
            </w:r>
            <w:r w:rsidRPr="00646C5C">
              <w:rPr>
                <w:rFonts w:eastAsia="Marianne Light" w:cs="Times New Roman"/>
                <w:sz w:val="18"/>
              </w:rPr>
              <w:t xml:space="preserve">× </w:t>
            </w:r>
            <w:r w:rsidRPr="00646C5C">
              <w:rPr>
                <w:rFonts w:eastAsia="Marianne Light" w:cs="Marianne Light"/>
                <w:sz w:val="18"/>
              </w:rPr>
              <w:t>0,086 = 101,27 €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6A3CF"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1 437,06 </w:t>
            </w:r>
            <w:r w:rsidRPr="00646C5C">
              <w:rPr>
                <w:rFonts w:eastAsia="Marianne Light" w:cs="Times New Roman"/>
                <w:sz w:val="18"/>
              </w:rPr>
              <w:t>× 0,086 = 123,59 €</w:t>
            </w:r>
          </w:p>
        </w:tc>
      </w:tr>
      <w:tr w:rsidR="0011119A" w14:paraId="24F1E9EA" w14:textId="77777777" w:rsidTr="006E45E9">
        <w:trPr>
          <w:cantSplit/>
          <w:tblHeader/>
        </w:trPr>
        <w:tc>
          <w:tcPr>
            <w:tcW w:w="2660" w:type="dxa"/>
            <w:tcBorders>
              <w:top w:val="single" w:sz="4" w:space="0" w:color="000000"/>
              <w:left w:val="single" w:sz="4" w:space="0" w:color="000000"/>
              <w:bottom w:val="single" w:sz="4" w:space="0" w:color="000000"/>
              <w:right w:val="single" w:sz="4" w:space="0" w:color="000000"/>
            </w:tcBorders>
            <w:shd w:val="clear" w:color="auto" w:fill="506C89"/>
            <w:tcMar>
              <w:top w:w="0" w:type="dxa"/>
              <w:left w:w="108" w:type="dxa"/>
              <w:bottom w:w="0" w:type="dxa"/>
              <w:right w:w="108" w:type="dxa"/>
            </w:tcMar>
          </w:tcPr>
          <w:p w14:paraId="3C27D828" w14:textId="77777777" w:rsidR="0011119A" w:rsidRPr="006E45E9" w:rsidRDefault="001051AE">
            <w:pPr>
              <w:pStyle w:val="Standard"/>
              <w:widowControl w:val="0"/>
              <w:spacing w:before="40" w:after="40" w:line="240" w:lineRule="auto"/>
              <w:ind w:left="57" w:right="57"/>
              <w:rPr>
                <w:color w:val="FFFFFF" w:themeColor="background1"/>
              </w:rPr>
            </w:pPr>
            <w:r w:rsidRPr="006E45E9">
              <w:rPr>
                <w:rFonts w:eastAsia="Marianne Light" w:cs="Marianne Light"/>
                <w:b/>
                <w:bCs/>
                <w:color w:val="FFFFFF" w:themeColor="background1"/>
                <w:sz w:val="18"/>
              </w:rPr>
              <w:t>Loisirs et cultures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4727"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1 177,58 </w:t>
            </w:r>
            <w:r w:rsidRPr="00646C5C">
              <w:rPr>
                <w:rFonts w:eastAsia="Marianne Light" w:cs="Times New Roman"/>
                <w:sz w:val="18"/>
              </w:rPr>
              <w:t xml:space="preserve">× </w:t>
            </w:r>
            <w:r w:rsidRPr="00646C5C">
              <w:rPr>
                <w:rFonts w:eastAsia="Marianne Light" w:cs="Marianne Light"/>
                <w:sz w:val="18"/>
              </w:rPr>
              <w:t>0,071 = 83,61 €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28E18" w14:textId="77777777" w:rsidR="0011119A" w:rsidRPr="00646C5C" w:rsidRDefault="001051AE">
            <w:pPr>
              <w:pStyle w:val="Standard"/>
              <w:widowControl w:val="0"/>
              <w:spacing w:before="40" w:after="40" w:line="240" w:lineRule="auto"/>
              <w:ind w:left="57" w:right="57"/>
            </w:pPr>
            <w:r w:rsidRPr="00646C5C">
              <w:rPr>
                <w:rFonts w:eastAsia="Marianne Light" w:cs="Marianne Light"/>
                <w:sz w:val="18"/>
              </w:rPr>
              <w:t xml:space="preserve">1 437,06 </w:t>
            </w:r>
            <w:r w:rsidRPr="00646C5C">
              <w:rPr>
                <w:rFonts w:eastAsia="Marianne Light" w:cs="Times New Roman"/>
                <w:sz w:val="18"/>
              </w:rPr>
              <w:t>× 0,071 = 102,03 €</w:t>
            </w:r>
          </w:p>
        </w:tc>
      </w:tr>
    </w:tbl>
    <w:p w14:paraId="6FA77C83" w14:textId="77777777" w:rsidR="0011119A" w:rsidRDefault="001051AE">
      <w:pPr>
        <w:pStyle w:val="Standard"/>
        <w:spacing w:before="240" w:after="120"/>
      </w:pPr>
      <w:r>
        <w:rPr>
          <w:b/>
          <w:bCs/>
        </w:rPr>
        <w:t>Votre équipe a conscience que les dépenses des ménages dépendent aussi de l’inflation.</w:t>
      </w:r>
    </w:p>
    <w:p w14:paraId="0760AAE0" w14:textId="77777777" w:rsidR="0011119A" w:rsidRDefault="001051AE">
      <w:pPr>
        <w:pStyle w:val="Standard"/>
        <w:numPr>
          <w:ilvl w:val="0"/>
          <w:numId w:val="18"/>
        </w:numPr>
        <w:spacing w:after="0"/>
        <w:ind w:left="357" w:hanging="357"/>
      </w:pPr>
      <w:r>
        <w:rPr>
          <w:b/>
          <w:bCs/>
        </w:rPr>
        <w:t>Expliquer à Lucas l’impact de l’inflation sur le revenu des ménages et leur pouvoir d’achat.</w:t>
      </w:r>
    </w:p>
    <w:p w14:paraId="2287FB77" w14:textId="09A78DB4" w:rsidR="0011119A" w:rsidRDefault="001051AE" w:rsidP="00E765A6">
      <w:pPr>
        <w:pStyle w:val="Standard"/>
        <w:spacing w:before="100" w:beforeAutospacing="1"/>
      </w:pPr>
      <w:r>
        <w:t>L’inflation se traduit par une augmentation générale et durable des prix à la consommation. Elle peut entraîner une baisse du pouvoir d’achat si la hausse des prix est supérieure à celle du revenu des ménages.  Cette baisse de pouvoir d’achat se fait d’autant plus ressentir que les ménages ne peuvent généralement pas renoncer à des dépenses dites contraintes ou pré-engagées, telles que le loyer, les divers abonnements (numériques ou pour le transport), les assurances, dont le coût augmente, et doivent donc réduire leur pouvoir d’achat dit « arbitrable », qui concerne d’autres postes de consommation comme l’alimentation, les loisirs ou l’habillement.</w:t>
      </w:r>
    </w:p>
    <w:p w14:paraId="55C6BE86" w14:textId="77777777" w:rsidR="0011119A" w:rsidRDefault="001051AE">
      <w:pPr>
        <w:pStyle w:val="Standard"/>
        <w:numPr>
          <w:ilvl w:val="0"/>
          <w:numId w:val="18"/>
        </w:numPr>
        <w:spacing w:after="0"/>
        <w:contextualSpacing/>
      </w:pPr>
      <w:r>
        <w:rPr>
          <w:b/>
          <w:bCs/>
        </w:rPr>
        <w:t>Analyser l’évolution de l’inflation entre 2000 et 2024. Justifier cette réponse avec des données chiffrées.</w:t>
      </w:r>
    </w:p>
    <w:p w14:paraId="448800A8" w14:textId="77777777" w:rsidR="0011119A" w:rsidRDefault="001051AE" w:rsidP="00E765A6">
      <w:pPr>
        <w:pStyle w:val="Standard"/>
        <w:spacing w:before="100" w:beforeAutospacing="1" w:after="100" w:afterAutospacing="1"/>
      </w:pPr>
      <w:r>
        <w:t>L’inflation a été contenue et est restée proche de 2 % par an chaque année entre 2000 et 2021. Elle culmine sur cette période en 2008 (crise financière mondiale), où elle atteint presque 3 % ; a contrario, elle est quasi nulle en 2009 et 2015. Entre 2021 et 2023, une augmentation forte du niveau d’inflation en France intervient : la hausse est de presque 5 </w:t>
      </w:r>
      <w:proofErr w:type="gramStart"/>
      <w:r>
        <w:t>%  en</w:t>
      </w:r>
      <w:proofErr w:type="gramEnd"/>
      <w:r>
        <w:t xml:space="preserve"> 2023.</w:t>
      </w:r>
    </w:p>
    <w:p w14:paraId="308E0F0A" w14:textId="77777777" w:rsidR="0011119A" w:rsidRDefault="001051AE" w:rsidP="00E765A6">
      <w:pPr>
        <w:pStyle w:val="Standard"/>
        <w:spacing w:after="100" w:afterAutospacing="1"/>
      </w:pPr>
      <w:r>
        <w:t>Ce regain d’inflation s’explique par la conjoncture économique : conséquences économiques de la crise sanitaire du Covid-19, guerre en Ukraine, hausse des prix des matières premières. Depuis 2023, l’inflation diminue et est repassée sous les 2 % en 2024.</w:t>
      </w:r>
    </w:p>
    <w:p w14:paraId="54E3BC96" w14:textId="77777777" w:rsidR="0011119A" w:rsidRDefault="001051AE">
      <w:pPr>
        <w:pStyle w:val="Standard"/>
        <w:spacing w:before="240"/>
      </w:pPr>
      <w:r>
        <w:rPr>
          <w:b/>
          <w:bCs/>
        </w:rPr>
        <w:t>Votre équipe relève également que certains postes de consommation pèsent particulièrement sur le revenu disponible des ménages aussi elle décide d’analyser l’évolution de ces différents postes de dépenses.</w:t>
      </w:r>
    </w:p>
    <w:p w14:paraId="3FC6AB0C" w14:textId="77777777" w:rsidR="0011119A" w:rsidRDefault="001051AE">
      <w:pPr>
        <w:pStyle w:val="Standard"/>
        <w:numPr>
          <w:ilvl w:val="0"/>
          <w:numId w:val="18"/>
        </w:numPr>
        <w:spacing w:after="60"/>
        <w:ind w:left="357" w:hanging="357"/>
      </w:pPr>
      <w:r>
        <w:rPr>
          <w:b/>
          <w:bCs/>
        </w:rPr>
        <w:t>Citer cinq dépenses pré-engagées des ménages.</w:t>
      </w:r>
    </w:p>
    <w:p w14:paraId="439CBC0F" w14:textId="77777777" w:rsidR="0011119A" w:rsidRDefault="001051AE" w:rsidP="00E765A6">
      <w:pPr>
        <w:pStyle w:val="Standard"/>
        <w:spacing w:before="100" w:beforeAutospacing="1" w:after="100" w:afterAutospacing="1"/>
      </w:pPr>
      <w:r>
        <w:t>On peut citer : l’électricité, l’eau, les abonnements téléphoniques, le loyer et les assurances.</w:t>
      </w:r>
    </w:p>
    <w:p w14:paraId="6EE756F9" w14:textId="77777777" w:rsidR="0011119A" w:rsidRDefault="001051AE" w:rsidP="007C787D">
      <w:pPr>
        <w:pStyle w:val="Standard"/>
        <w:numPr>
          <w:ilvl w:val="0"/>
          <w:numId w:val="18"/>
        </w:numPr>
        <w:spacing w:before="240" w:after="60"/>
        <w:ind w:left="357" w:hanging="357"/>
      </w:pPr>
      <w:r>
        <w:rPr>
          <w:b/>
          <w:bCs/>
        </w:rPr>
        <w:lastRenderedPageBreak/>
        <w:t>Analyser l’évolution des dépenses pré-engagées et des dépenses liées au logement. Justifier les réponses avec des données chiffrées.</w:t>
      </w:r>
    </w:p>
    <w:p w14:paraId="3C009242" w14:textId="77777777" w:rsidR="0011119A" w:rsidRDefault="001051AE" w:rsidP="00E765A6">
      <w:pPr>
        <w:pStyle w:val="Standard"/>
        <w:spacing w:before="100" w:beforeAutospacing="1" w:after="100" w:afterAutospacing="1"/>
      </w:pPr>
      <w:r>
        <w:t>Les dépenses pré-engagées et les dépenses liées au logement sont les plus importantes : elles représentent respectivement 30 % et 23 % en 2024. Les dépenses pré-engagées augmentent depuis 1960 et ont même doublé entre 1960 (environ 14 % de la consommation totale) et 2024 (30 %). Les dépenses liées au logement suivent la même tendance : environ 11 % en 1960 contre 22 % en 2024.</w:t>
      </w:r>
    </w:p>
    <w:p w14:paraId="7CF7B4EE" w14:textId="77777777" w:rsidR="0011119A" w:rsidRDefault="001051AE">
      <w:pPr>
        <w:pStyle w:val="Standard"/>
        <w:numPr>
          <w:ilvl w:val="0"/>
          <w:numId w:val="18"/>
        </w:numPr>
        <w:contextualSpacing/>
      </w:pPr>
      <w:r>
        <w:rPr>
          <w:b/>
          <w:bCs/>
        </w:rPr>
        <w:t>Un SMIC est-il suffisant pour couvrir les dépenses des ménages ? Justifier la réponse avec des données chiffrées.</w:t>
      </w:r>
    </w:p>
    <w:p w14:paraId="45E50F30" w14:textId="77777777" w:rsidR="0011119A" w:rsidRDefault="001051AE" w:rsidP="00E765A6">
      <w:pPr>
        <w:pStyle w:val="Standard"/>
        <w:spacing w:before="100" w:beforeAutospacing="1" w:after="100" w:afterAutospacing="1"/>
      </w:pPr>
      <w:r>
        <w:t>La part des dépenses pré-engagées et des dépenses liées au logement dans le revenu disponible brut ont doublé entre 1960 et 2024. En effet, en 64 ans, les dépenses pré-engagées sont passées de 14 % en 1960 à 30 % en 2024 et les dépenses liées au logement sont passées de 11% en 1960 à 22% en 2024. De plus, l’inflation est fluctuante et dépend de la conjoncture économique en France et plus largement au niveau mondial. Ces dernières années, l’inflation a atteint, pour la première fois depuis 2000, 5 % en 2021. Par conséquent, même si les revenus des ménages ont également augmenté sur la période, en particulier pour les salariés au SMIC car celui-ci est indexé sur l’inflation, le pouvoir d’achat des ménages a pâti de cette inflation forte. Le SMIC n’est plus forcément suffisant pour couvrir les dépenses des ménages, d’autant plus pour une famille nombreuse et/ou dans laquelle les revenus reposent sur un seul salaire. Les calculs de la question 2 montrent qu’un salaire à 1 761,10 € permettrait de mieux supporter les dépenses à la hausse et d’épargner.</w:t>
      </w:r>
    </w:p>
    <w:p w14:paraId="7F8480AC" w14:textId="77777777" w:rsidR="0011119A" w:rsidRDefault="001051AE">
      <w:pPr>
        <w:pStyle w:val="Standard"/>
      </w:pPr>
      <w:r>
        <w:rPr>
          <w:b/>
          <w:bCs/>
        </w:rPr>
        <w:t>En s’appuyant sur l’analyse de votre équipe, Lucas décide de proposer un salaire net de 1 761,10 € à ses futurs salariés. En effet, il ne peut proposer davantage car les charges patronales qui pèsent sur un salaire représentent un coût pour l’entreprise. Il interroge votre équipe sur les compléments de salaire.</w:t>
      </w:r>
    </w:p>
    <w:p w14:paraId="19493754" w14:textId="77777777" w:rsidR="0011119A" w:rsidRDefault="001051AE" w:rsidP="00E765A6">
      <w:pPr>
        <w:pStyle w:val="Standard"/>
        <w:numPr>
          <w:ilvl w:val="0"/>
          <w:numId w:val="18"/>
        </w:numPr>
        <w:ind w:left="357" w:hanging="357"/>
      </w:pPr>
      <w:r>
        <w:rPr>
          <w:b/>
          <w:bCs/>
        </w:rPr>
        <w:t>Lister les compléments de salaires que Lucas pourrait éventuellement utiliser.</w:t>
      </w:r>
    </w:p>
    <w:p w14:paraId="28DC5A46" w14:textId="77777777" w:rsidR="0011119A" w:rsidRDefault="001051AE">
      <w:pPr>
        <w:pStyle w:val="Standard"/>
        <w:numPr>
          <w:ilvl w:val="0"/>
          <w:numId w:val="17"/>
        </w:numPr>
        <w:contextualSpacing/>
      </w:pPr>
      <w:r>
        <w:t>Heures supplémentaires</w:t>
      </w:r>
    </w:p>
    <w:p w14:paraId="287FF138" w14:textId="77777777" w:rsidR="0011119A" w:rsidRDefault="001051AE">
      <w:pPr>
        <w:pStyle w:val="Standard"/>
        <w:numPr>
          <w:ilvl w:val="0"/>
          <w:numId w:val="17"/>
        </w:numPr>
        <w:contextualSpacing/>
      </w:pPr>
      <w:r>
        <w:t>Primes</w:t>
      </w:r>
    </w:p>
    <w:p w14:paraId="4F55B740" w14:textId="77777777" w:rsidR="0011119A" w:rsidRDefault="001051AE">
      <w:pPr>
        <w:pStyle w:val="Standard"/>
        <w:numPr>
          <w:ilvl w:val="0"/>
          <w:numId w:val="17"/>
        </w:numPr>
        <w:contextualSpacing/>
      </w:pPr>
      <w:r>
        <w:t>Gratification</w:t>
      </w:r>
    </w:p>
    <w:p w14:paraId="2663FE26" w14:textId="77777777" w:rsidR="0011119A" w:rsidRDefault="001051AE">
      <w:pPr>
        <w:pStyle w:val="Standard"/>
        <w:numPr>
          <w:ilvl w:val="0"/>
          <w:numId w:val="17"/>
        </w:numPr>
        <w:contextualSpacing/>
      </w:pPr>
      <w:r>
        <w:t>Avantages en nature : ticket restaurant, voiture de fonction</w:t>
      </w:r>
    </w:p>
    <w:p w14:paraId="6519C0DC" w14:textId="77777777" w:rsidR="0011119A" w:rsidRDefault="001051AE">
      <w:pPr>
        <w:pStyle w:val="Standard"/>
        <w:numPr>
          <w:ilvl w:val="0"/>
          <w:numId w:val="17"/>
        </w:numPr>
        <w:contextualSpacing/>
      </w:pPr>
      <w:r>
        <w:t>Remboursement de frais professionnels</w:t>
      </w:r>
    </w:p>
    <w:p w14:paraId="6C5F50EA" w14:textId="4A939595" w:rsidR="0011119A" w:rsidRDefault="001051AE" w:rsidP="00D11367">
      <w:pPr>
        <w:pStyle w:val="Standard"/>
        <w:numPr>
          <w:ilvl w:val="0"/>
          <w:numId w:val="17"/>
        </w:numPr>
        <w:spacing w:after="0"/>
        <w:contextualSpacing/>
      </w:pPr>
      <w:r>
        <w:t>Prime d’activité</w:t>
      </w:r>
    </w:p>
    <w:sectPr w:rsidR="0011119A" w:rsidSect="00E765A6">
      <w:footerReference w:type="default" r:id="rId18"/>
      <w:footerReference w:type="first" r:id="rId19"/>
      <w:pgSz w:w="11906" w:h="16838"/>
      <w:pgMar w:top="1134" w:right="1077" w:bottom="1134" w:left="1077" w:header="720"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CD87" w14:textId="77777777" w:rsidR="001051AE" w:rsidRDefault="001051AE">
      <w:r>
        <w:separator/>
      </w:r>
    </w:p>
  </w:endnote>
  <w:endnote w:type="continuationSeparator" w:id="0">
    <w:p w14:paraId="76B93EDE" w14:textId="77777777" w:rsidR="001051AE" w:rsidRDefault="0010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arianne Light">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Marianne Medium">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INPro-Bold">
    <w:altName w:val="Calibri"/>
    <w:panose1 w:val="00000000000000000000"/>
    <w:charset w:val="00"/>
    <w:family w:val="modern"/>
    <w:notTrueType/>
    <w:pitch w:val="variable"/>
    <w:sig w:usb0="800002AF" w:usb1="4000206A" w:usb2="00000000" w:usb3="00000000" w:csb0="0000009F" w:csb1="00000000"/>
  </w:font>
  <w:font w:name="Marianne ExtraBold">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85A2" w14:textId="69F6E427" w:rsidR="001051AE" w:rsidRPr="00E765A6" w:rsidRDefault="00E765A6" w:rsidP="00E765A6">
    <w:pPr>
      <w:pStyle w:val="Pieddepage"/>
    </w:pPr>
    <w:r>
      <w:t xml:space="preserve">Accompagner un projet de création d’entreprise avec les données de l’Insee – Éléments de correction </w:t>
    </w:r>
    <w:r>
      <w:tab/>
    </w: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BDD" w14:textId="6561B506" w:rsidR="00E765A6" w:rsidRDefault="00E765A6">
    <w:pPr>
      <w:pStyle w:val="Pieddepage"/>
    </w:pPr>
    <w:r>
      <w:t xml:space="preserve">Accompagner un projet de création d’entreprise avec les données de l’Insee – Éléments de correction </w:t>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D8440" w14:textId="77777777" w:rsidR="001051AE" w:rsidRDefault="001051AE">
      <w:r>
        <w:rPr>
          <w:color w:val="000000"/>
        </w:rPr>
        <w:separator/>
      </w:r>
    </w:p>
  </w:footnote>
  <w:footnote w:type="continuationSeparator" w:id="0">
    <w:p w14:paraId="7A53B4C4" w14:textId="77777777" w:rsidR="001051AE" w:rsidRDefault="00105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C4A3E"/>
    <w:multiLevelType w:val="multilevel"/>
    <w:tmpl w:val="DECCCE86"/>
    <w:styleLink w:val="WWNum16"/>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6CE3524"/>
    <w:multiLevelType w:val="hybridMultilevel"/>
    <w:tmpl w:val="7478BEF2"/>
    <w:lvl w:ilvl="0" w:tplc="D300511A">
      <w:start w:val="1"/>
      <w:numFmt w:val="bullet"/>
      <w:pStyle w:val="Paragraphedeliste"/>
      <w:lvlText w:val=""/>
      <w:lvlJc w:val="left"/>
      <w:pPr>
        <w:ind w:left="1440" w:hanging="360"/>
      </w:pPr>
      <w:rPr>
        <w:rFonts w:ascii="Symbol" w:hAnsi="Symbol" w:hint="default"/>
        <w:lang w:val="fr-FR" w:eastAsia="en-US" w:bidi="ar-SA"/>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CCF06F8"/>
    <w:multiLevelType w:val="multilevel"/>
    <w:tmpl w:val="03CC278A"/>
    <w:styleLink w:val="WWNum17"/>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3" w15:restartNumberingAfterBreak="0">
    <w:nsid w:val="1C465B7C"/>
    <w:multiLevelType w:val="multilevel"/>
    <w:tmpl w:val="FA94A370"/>
    <w:styleLink w:val="WWNum1"/>
    <w:lvl w:ilvl="0">
      <w:numFmt w:val="bullet"/>
      <w:lvlText w:val="•"/>
      <w:lvlJc w:val="left"/>
      <w:pPr>
        <w:ind w:left="415" w:hanging="137"/>
      </w:pPr>
      <w:rPr>
        <w:rFonts w:ascii="Times New Roman" w:hAnsi="Times New Roman" w:cs="Marianne"/>
        <w:b w:val="0"/>
        <w:bCs w:val="0"/>
        <w:i w:val="0"/>
        <w:iCs w:val="0"/>
        <w:color w:val="F29C52"/>
        <w:w w:val="100"/>
        <w:sz w:val="22"/>
        <w:szCs w:val="22"/>
        <w:lang w:val="fr-FR" w:eastAsia="en-US" w:bidi="ar-SA"/>
      </w:rPr>
    </w:lvl>
    <w:lvl w:ilvl="1">
      <w:numFmt w:val="bullet"/>
      <w:lvlText w:val=""/>
      <w:lvlJc w:val="left"/>
      <w:pPr>
        <w:ind w:left="1060" w:hanging="137"/>
      </w:pPr>
      <w:rPr>
        <w:rFonts w:ascii="Calibri" w:hAnsi="Calibri" w:cs="Symbol"/>
        <w:lang w:val="fr-FR" w:eastAsia="en-US" w:bidi="ar-SA"/>
      </w:rPr>
    </w:lvl>
    <w:lvl w:ilvl="2">
      <w:numFmt w:val="bullet"/>
      <w:lvlText w:val=""/>
      <w:lvlJc w:val="left"/>
      <w:pPr>
        <w:ind w:left="1700" w:hanging="137"/>
      </w:pPr>
      <w:rPr>
        <w:rFonts w:ascii="Calibri" w:hAnsi="Calibri" w:cs="Symbol"/>
        <w:lang w:val="fr-FR" w:eastAsia="en-US" w:bidi="ar-SA"/>
      </w:rPr>
    </w:lvl>
    <w:lvl w:ilvl="3">
      <w:numFmt w:val="bullet"/>
      <w:lvlText w:val=""/>
      <w:lvlJc w:val="left"/>
      <w:pPr>
        <w:ind w:left="2340" w:hanging="137"/>
      </w:pPr>
      <w:rPr>
        <w:rFonts w:ascii="Calibri" w:hAnsi="Calibri" w:cs="Symbol"/>
        <w:lang w:val="fr-FR" w:eastAsia="en-US" w:bidi="ar-SA"/>
      </w:rPr>
    </w:lvl>
    <w:lvl w:ilvl="4">
      <w:numFmt w:val="bullet"/>
      <w:lvlText w:val=""/>
      <w:lvlJc w:val="left"/>
      <w:pPr>
        <w:ind w:left="2980" w:hanging="137"/>
      </w:pPr>
      <w:rPr>
        <w:rFonts w:ascii="Calibri" w:hAnsi="Calibri" w:cs="Symbol"/>
        <w:lang w:val="fr-FR" w:eastAsia="en-US" w:bidi="ar-SA"/>
      </w:rPr>
    </w:lvl>
    <w:lvl w:ilvl="5">
      <w:numFmt w:val="bullet"/>
      <w:lvlText w:val=""/>
      <w:lvlJc w:val="left"/>
      <w:pPr>
        <w:ind w:left="3620" w:hanging="137"/>
      </w:pPr>
      <w:rPr>
        <w:rFonts w:ascii="Calibri" w:hAnsi="Calibri" w:cs="Symbol"/>
        <w:lang w:val="fr-FR" w:eastAsia="en-US" w:bidi="ar-SA"/>
      </w:rPr>
    </w:lvl>
    <w:lvl w:ilvl="6">
      <w:numFmt w:val="bullet"/>
      <w:lvlText w:val=""/>
      <w:lvlJc w:val="left"/>
      <w:pPr>
        <w:ind w:left="4260" w:hanging="137"/>
      </w:pPr>
      <w:rPr>
        <w:rFonts w:ascii="Calibri" w:hAnsi="Calibri" w:cs="Symbol"/>
        <w:lang w:val="fr-FR" w:eastAsia="en-US" w:bidi="ar-SA"/>
      </w:rPr>
    </w:lvl>
    <w:lvl w:ilvl="7">
      <w:numFmt w:val="bullet"/>
      <w:lvlText w:val=""/>
      <w:lvlJc w:val="left"/>
      <w:pPr>
        <w:ind w:left="4900" w:hanging="137"/>
      </w:pPr>
      <w:rPr>
        <w:rFonts w:ascii="Calibri" w:hAnsi="Calibri" w:cs="Symbol"/>
        <w:lang w:val="fr-FR" w:eastAsia="en-US" w:bidi="ar-SA"/>
      </w:rPr>
    </w:lvl>
    <w:lvl w:ilvl="8">
      <w:numFmt w:val="bullet"/>
      <w:lvlText w:val=""/>
      <w:lvlJc w:val="left"/>
      <w:pPr>
        <w:ind w:left="5540" w:hanging="137"/>
      </w:pPr>
      <w:rPr>
        <w:rFonts w:ascii="Calibri" w:hAnsi="Calibri" w:cs="Symbol"/>
        <w:lang w:val="fr-FR" w:eastAsia="en-US" w:bidi="ar-SA"/>
      </w:rPr>
    </w:lvl>
  </w:abstractNum>
  <w:abstractNum w:abstractNumId="4" w15:restartNumberingAfterBreak="0">
    <w:nsid w:val="227B7A8C"/>
    <w:multiLevelType w:val="multilevel"/>
    <w:tmpl w:val="32149634"/>
    <w:styleLink w:val="WWNum12"/>
    <w:lvl w:ilvl="0">
      <w:numFmt w:val="bullet"/>
      <w:lvlText w:val="-"/>
      <w:lvlJc w:val="left"/>
      <w:pPr>
        <w:ind w:left="717" w:hanging="360"/>
      </w:pPr>
      <w:rPr>
        <w:rFonts w:ascii="Times New Roman" w:eastAsia="Cambria" w:hAnsi="Times New Roman" w:cs="Calibri"/>
      </w:rPr>
    </w:lvl>
    <w:lvl w:ilvl="1">
      <w:numFmt w:val="bullet"/>
      <w:lvlText w:val="o"/>
      <w:lvlJc w:val="left"/>
      <w:pPr>
        <w:ind w:left="1437" w:hanging="360"/>
      </w:pPr>
      <w:rPr>
        <w:rFonts w:ascii="Times New Roman" w:hAnsi="Times New Roman" w:cs="Courier New"/>
      </w:rPr>
    </w:lvl>
    <w:lvl w:ilvl="2">
      <w:numFmt w:val="bullet"/>
      <w:lvlText w:val=""/>
      <w:lvlJc w:val="left"/>
      <w:pPr>
        <w:ind w:left="2157" w:hanging="360"/>
      </w:pPr>
      <w:rPr>
        <w:rFonts w:ascii="Times New Roman" w:hAnsi="Times New Roman" w:cs="Wingdings"/>
      </w:rPr>
    </w:lvl>
    <w:lvl w:ilvl="3">
      <w:numFmt w:val="bullet"/>
      <w:lvlText w:val=""/>
      <w:lvlJc w:val="left"/>
      <w:pPr>
        <w:ind w:left="2877" w:hanging="360"/>
      </w:pPr>
      <w:rPr>
        <w:rFonts w:ascii="Calibri" w:hAnsi="Calibri" w:cs="Symbol"/>
      </w:rPr>
    </w:lvl>
    <w:lvl w:ilvl="4">
      <w:numFmt w:val="bullet"/>
      <w:lvlText w:val="o"/>
      <w:lvlJc w:val="left"/>
      <w:pPr>
        <w:ind w:left="3597" w:hanging="360"/>
      </w:pPr>
      <w:rPr>
        <w:rFonts w:ascii="Times New Roman" w:hAnsi="Times New Roman" w:cs="Courier New"/>
      </w:rPr>
    </w:lvl>
    <w:lvl w:ilvl="5">
      <w:numFmt w:val="bullet"/>
      <w:lvlText w:val=""/>
      <w:lvlJc w:val="left"/>
      <w:pPr>
        <w:ind w:left="4317" w:hanging="360"/>
      </w:pPr>
      <w:rPr>
        <w:rFonts w:ascii="Times New Roman" w:hAnsi="Times New Roman" w:cs="Wingdings"/>
      </w:rPr>
    </w:lvl>
    <w:lvl w:ilvl="6">
      <w:numFmt w:val="bullet"/>
      <w:lvlText w:val=""/>
      <w:lvlJc w:val="left"/>
      <w:pPr>
        <w:ind w:left="5037" w:hanging="360"/>
      </w:pPr>
      <w:rPr>
        <w:rFonts w:ascii="Calibri" w:hAnsi="Calibri" w:cs="Symbol"/>
      </w:rPr>
    </w:lvl>
    <w:lvl w:ilvl="7">
      <w:numFmt w:val="bullet"/>
      <w:lvlText w:val="o"/>
      <w:lvlJc w:val="left"/>
      <w:pPr>
        <w:ind w:left="5757" w:hanging="360"/>
      </w:pPr>
      <w:rPr>
        <w:rFonts w:ascii="Times New Roman" w:hAnsi="Times New Roman" w:cs="Courier New"/>
      </w:rPr>
    </w:lvl>
    <w:lvl w:ilvl="8">
      <w:numFmt w:val="bullet"/>
      <w:lvlText w:val=""/>
      <w:lvlJc w:val="left"/>
      <w:pPr>
        <w:ind w:left="6477" w:hanging="360"/>
      </w:pPr>
      <w:rPr>
        <w:rFonts w:ascii="Times New Roman" w:hAnsi="Times New Roman" w:cs="Wingdings"/>
      </w:rPr>
    </w:lvl>
  </w:abstractNum>
  <w:abstractNum w:abstractNumId="5" w15:restartNumberingAfterBreak="0">
    <w:nsid w:val="22EB52A8"/>
    <w:multiLevelType w:val="hybridMultilevel"/>
    <w:tmpl w:val="5FEC5E7A"/>
    <w:lvl w:ilvl="0" w:tplc="E0F80CD0">
      <w:numFmt w:val="bullet"/>
      <w:pStyle w:val="Listetableau"/>
      <w:lvlText w:val="•"/>
      <w:lvlJc w:val="left"/>
      <w:pPr>
        <w:ind w:left="415" w:hanging="137"/>
      </w:pPr>
      <w:rPr>
        <w:rFonts w:ascii="Marianne" w:eastAsia="Marianne" w:hAnsi="Marianne" w:cs="Marianne" w:hint="default"/>
        <w:b w:val="0"/>
        <w:bCs w:val="0"/>
        <w:i w:val="0"/>
        <w:iCs w:val="0"/>
        <w:color w:val="F29C52"/>
        <w:w w:val="100"/>
        <w:sz w:val="22"/>
        <w:szCs w:val="22"/>
        <w:lang w:val="fr-FR" w:eastAsia="en-US" w:bidi="ar-SA"/>
      </w:rPr>
    </w:lvl>
    <w:lvl w:ilvl="1" w:tplc="FE549060">
      <w:numFmt w:val="bullet"/>
      <w:lvlText w:val="•"/>
      <w:lvlJc w:val="left"/>
      <w:pPr>
        <w:ind w:left="1060" w:hanging="137"/>
      </w:pPr>
      <w:rPr>
        <w:rFonts w:hint="default"/>
        <w:lang w:val="fr-FR" w:eastAsia="en-US" w:bidi="ar-SA"/>
      </w:rPr>
    </w:lvl>
    <w:lvl w:ilvl="2" w:tplc="2954FA0A">
      <w:numFmt w:val="bullet"/>
      <w:lvlText w:val="•"/>
      <w:lvlJc w:val="left"/>
      <w:pPr>
        <w:ind w:left="1700" w:hanging="137"/>
      </w:pPr>
      <w:rPr>
        <w:rFonts w:hint="default"/>
        <w:lang w:val="fr-FR" w:eastAsia="en-US" w:bidi="ar-SA"/>
      </w:rPr>
    </w:lvl>
    <w:lvl w:ilvl="3" w:tplc="1E1C91AA">
      <w:numFmt w:val="bullet"/>
      <w:lvlText w:val="•"/>
      <w:lvlJc w:val="left"/>
      <w:pPr>
        <w:ind w:left="2340" w:hanging="137"/>
      </w:pPr>
      <w:rPr>
        <w:rFonts w:hint="default"/>
        <w:lang w:val="fr-FR" w:eastAsia="en-US" w:bidi="ar-SA"/>
      </w:rPr>
    </w:lvl>
    <w:lvl w:ilvl="4" w:tplc="A114F6D6">
      <w:numFmt w:val="bullet"/>
      <w:lvlText w:val="•"/>
      <w:lvlJc w:val="left"/>
      <w:pPr>
        <w:ind w:left="2980" w:hanging="137"/>
      </w:pPr>
      <w:rPr>
        <w:rFonts w:hint="default"/>
        <w:lang w:val="fr-FR" w:eastAsia="en-US" w:bidi="ar-SA"/>
      </w:rPr>
    </w:lvl>
    <w:lvl w:ilvl="5" w:tplc="1D406DA8">
      <w:numFmt w:val="bullet"/>
      <w:lvlText w:val="•"/>
      <w:lvlJc w:val="left"/>
      <w:pPr>
        <w:ind w:left="3620" w:hanging="137"/>
      </w:pPr>
      <w:rPr>
        <w:rFonts w:hint="default"/>
        <w:lang w:val="fr-FR" w:eastAsia="en-US" w:bidi="ar-SA"/>
      </w:rPr>
    </w:lvl>
    <w:lvl w:ilvl="6" w:tplc="2A4CFCB8">
      <w:numFmt w:val="bullet"/>
      <w:lvlText w:val="•"/>
      <w:lvlJc w:val="left"/>
      <w:pPr>
        <w:ind w:left="4260" w:hanging="137"/>
      </w:pPr>
      <w:rPr>
        <w:rFonts w:hint="default"/>
        <w:lang w:val="fr-FR" w:eastAsia="en-US" w:bidi="ar-SA"/>
      </w:rPr>
    </w:lvl>
    <w:lvl w:ilvl="7" w:tplc="A87A0546">
      <w:numFmt w:val="bullet"/>
      <w:lvlText w:val="•"/>
      <w:lvlJc w:val="left"/>
      <w:pPr>
        <w:ind w:left="4900" w:hanging="137"/>
      </w:pPr>
      <w:rPr>
        <w:rFonts w:hint="default"/>
        <w:lang w:val="fr-FR" w:eastAsia="en-US" w:bidi="ar-SA"/>
      </w:rPr>
    </w:lvl>
    <w:lvl w:ilvl="8" w:tplc="9AF40EDA">
      <w:numFmt w:val="bullet"/>
      <w:lvlText w:val="•"/>
      <w:lvlJc w:val="left"/>
      <w:pPr>
        <w:ind w:left="5540" w:hanging="137"/>
      </w:pPr>
      <w:rPr>
        <w:rFonts w:hint="default"/>
        <w:lang w:val="fr-FR" w:eastAsia="en-US" w:bidi="ar-SA"/>
      </w:rPr>
    </w:lvl>
  </w:abstractNum>
  <w:abstractNum w:abstractNumId="6" w15:restartNumberingAfterBreak="0">
    <w:nsid w:val="25E57901"/>
    <w:multiLevelType w:val="multilevel"/>
    <w:tmpl w:val="EA9E7610"/>
    <w:styleLink w:val="WWNum7"/>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7" w15:restartNumberingAfterBreak="0">
    <w:nsid w:val="2C236947"/>
    <w:multiLevelType w:val="multilevel"/>
    <w:tmpl w:val="429CCA62"/>
    <w:styleLink w:val="WWNum13"/>
    <w:lvl w:ilvl="0">
      <w:numFmt w:val="bullet"/>
      <w:lvlText w:val="+"/>
      <w:lvlJc w:val="left"/>
      <w:pPr>
        <w:ind w:left="720" w:hanging="360"/>
      </w:pPr>
      <w:rPr>
        <w:rFonts w:ascii="Calibri" w:hAnsi="Calibri" w:cs="Sylfaen"/>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8" w15:restartNumberingAfterBreak="0">
    <w:nsid w:val="32F4726D"/>
    <w:multiLevelType w:val="multilevel"/>
    <w:tmpl w:val="43C06E9A"/>
    <w:styleLink w:val="WWNum8"/>
    <w:lvl w:ilvl="0">
      <w:start w:val="1"/>
      <w:numFmt w:val="decimal"/>
      <w:lvlText w:val="%1."/>
      <w:lvlJc w:val="left"/>
      <w:pPr>
        <w:ind w:left="6" w:hanging="360"/>
      </w:pPr>
    </w:lvl>
    <w:lvl w:ilvl="1">
      <w:start w:val="1"/>
      <w:numFmt w:val="lowerLetter"/>
      <w:lvlText w:val="."/>
      <w:lvlJc w:val="left"/>
      <w:pPr>
        <w:ind w:left="726" w:hanging="360"/>
      </w:pPr>
    </w:lvl>
    <w:lvl w:ilvl="2">
      <w:start w:val="1"/>
      <w:numFmt w:val="lowerRoman"/>
      <w:lvlText w:val="."/>
      <w:lvlJc w:val="right"/>
      <w:pPr>
        <w:ind w:left="1446" w:hanging="180"/>
      </w:pPr>
    </w:lvl>
    <w:lvl w:ilvl="3">
      <w:start w:val="1"/>
      <w:numFmt w:val="decimal"/>
      <w:lvlText w:val="."/>
      <w:lvlJc w:val="left"/>
      <w:pPr>
        <w:ind w:left="2166" w:hanging="360"/>
      </w:pPr>
    </w:lvl>
    <w:lvl w:ilvl="4">
      <w:start w:val="1"/>
      <w:numFmt w:val="lowerLetter"/>
      <w:lvlText w:val="."/>
      <w:lvlJc w:val="left"/>
      <w:pPr>
        <w:ind w:left="2886" w:hanging="360"/>
      </w:pPr>
    </w:lvl>
    <w:lvl w:ilvl="5">
      <w:start w:val="1"/>
      <w:numFmt w:val="lowerRoman"/>
      <w:lvlText w:val="."/>
      <w:lvlJc w:val="right"/>
      <w:pPr>
        <w:ind w:left="3606" w:hanging="180"/>
      </w:pPr>
    </w:lvl>
    <w:lvl w:ilvl="6">
      <w:start w:val="1"/>
      <w:numFmt w:val="decimal"/>
      <w:lvlText w:val="."/>
      <w:lvlJc w:val="left"/>
      <w:pPr>
        <w:ind w:left="4326" w:hanging="360"/>
      </w:pPr>
    </w:lvl>
    <w:lvl w:ilvl="7">
      <w:start w:val="1"/>
      <w:numFmt w:val="lowerLetter"/>
      <w:lvlText w:val="."/>
      <w:lvlJc w:val="left"/>
      <w:pPr>
        <w:ind w:left="5046" w:hanging="360"/>
      </w:pPr>
    </w:lvl>
    <w:lvl w:ilvl="8">
      <w:start w:val="1"/>
      <w:numFmt w:val="lowerRoman"/>
      <w:lvlText w:val="."/>
      <w:lvlJc w:val="right"/>
      <w:pPr>
        <w:ind w:left="5766" w:hanging="180"/>
      </w:pPr>
    </w:lvl>
  </w:abstractNum>
  <w:abstractNum w:abstractNumId="9" w15:restartNumberingAfterBreak="0">
    <w:nsid w:val="35605372"/>
    <w:multiLevelType w:val="multilevel"/>
    <w:tmpl w:val="2654D5F4"/>
    <w:styleLink w:val="WWNum15"/>
    <w:lvl w:ilvl="0">
      <w:numFmt w:val="bullet"/>
      <w:lvlText w:val="-"/>
      <w:lvlJc w:val="left"/>
      <w:pPr>
        <w:ind w:left="720" w:hanging="360"/>
      </w:pPr>
      <w:rPr>
        <w:rFonts w:ascii="Times New Roman" w:eastAsia="Cambria" w:hAnsi="Times New Roman" w:cs="Calibri"/>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10" w15:restartNumberingAfterBreak="0">
    <w:nsid w:val="374B6409"/>
    <w:multiLevelType w:val="multilevel"/>
    <w:tmpl w:val="F9C6E58C"/>
    <w:styleLink w:val="WWNum9"/>
    <w:lvl w:ilvl="0">
      <w:start w:val="1"/>
      <w:numFmt w:val="decimal"/>
      <w:lvlText w:val="%1."/>
      <w:lvlJc w:val="left"/>
      <w:pPr>
        <w:ind w:left="363" w:hanging="360"/>
      </w:pPr>
    </w:lvl>
    <w:lvl w:ilvl="1">
      <w:start w:val="1"/>
      <w:numFmt w:val="lowerLetter"/>
      <w:lvlText w:val="."/>
      <w:lvlJc w:val="left"/>
      <w:pPr>
        <w:ind w:left="1083" w:hanging="360"/>
      </w:pPr>
    </w:lvl>
    <w:lvl w:ilvl="2">
      <w:start w:val="1"/>
      <w:numFmt w:val="lowerRoman"/>
      <w:lvlText w:val="."/>
      <w:lvlJc w:val="right"/>
      <w:pPr>
        <w:ind w:left="1803" w:hanging="180"/>
      </w:pPr>
    </w:lvl>
    <w:lvl w:ilvl="3">
      <w:start w:val="1"/>
      <w:numFmt w:val="decimal"/>
      <w:lvlText w:val="."/>
      <w:lvlJc w:val="left"/>
      <w:pPr>
        <w:ind w:left="2523" w:hanging="360"/>
      </w:pPr>
    </w:lvl>
    <w:lvl w:ilvl="4">
      <w:start w:val="1"/>
      <w:numFmt w:val="lowerLetter"/>
      <w:lvlText w:val="."/>
      <w:lvlJc w:val="left"/>
      <w:pPr>
        <w:ind w:left="3243" w:hanging="360"/>
      </w:pPr>
    </w:lvl>
    <w:lvl w:ilvl="5">
      <w:start w:val="1"/>
      <w:numFmt w:val="lowerRoman"/>
      <w:lvlText w:val="."/>
      <w:lvlJc w:val="right"/>
      <w:pPr>
        <w:ind w:left="3963" w:hanging="180"/>
      </w:pPr>
    </w:lvl>
    <w:lvl w:ilvl="6">
      <w:start w:val="1"/>
      <w:numFmt w:val="decimal"/>
      <w:lvlText w:val="."/>
      <w:lvlJc w:val="left"/>
      <w:pPr>
        <w:ind w:left="4683" w:hanging="360"/>
      </w:pPr>
    </w:lvl>
    <w:lvl w:ilvl="7">
      <w:start w:val="1"/>
      <w:numFmt w:val="lowerLetter"/>
      <w:lvlText w:val="."/>
      <w:lvlJc w:val="left"/>
      <w:pPr>
        <w:ind w:left="5403" w:hanging="360"/>
      </w:pPr>
    </w:lvl>
    <w:lvl w:ilvl="8">
      <w:start w:val="1"/>
      <w:numFmt w:val="lowerRoman"/>
      <w:lvlText w:val="."/>
      <w:lvlJc w:val="right"/>
      <w:pPr>
        <w:ind w:left="6123" w:hanging="180"/>
      </w:pPr>
    </w:lvl>
  </w:abstractNum>
  <w:abstractNum w:abstractNumId="11" w15:restartNumberingAfterBreak="0">
    <w:nsid w:val="3F7063F4"/>
    <w:multiLevelType w:val="multilevel"/>
    <w:tmpl w:val="BB228032"/>
    <w:styleLink w:val="WWNum2"/>
    <w:lvl w:ilvl="0">
      <w:numFmt w:val="bullet"/>
      <w:lvlText w:val=""/>
      <w:lvlJc w:val="left"/>
      <w:pPr>
        <w:ind w:left="1440" w:hanging="360"/>
      </w:pPr>
      <w:rPr>
        <w:rFonts w:ascii="Calibri" w:hAnsi="Calibri" w:cs="Symbol"/>
        <w:lang w:val="fr-FR" w:eastAsia="en-US" w:bidi="ar-SA"/>
      </w:r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rPr>
        <w:rFonts w:ascii="Times New Roman" w:hAnsi="Times New Roman" w:cs="Wingdings"/>
      </w:rPr>
    </w:lvl>
    <w:lvl w:ilvl="3">
      <w:numFmt w:val="bullet"/>
      <w:lvlText w:val=""/>
      <w:lvlJc w:val="left"/>
      <w:pPr>
        <w:ind w:left="3600" w:hanging="360"/>
      </w:pPr>
      <w:rPr>
        <w:rFonts w:ascii="Calibri" w:hAnsi="Calibri" w:cs="Symbol"/>
      </w:r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rPr>
        <w:rFonts w:ascii="Times New Roman" w:hAnsi="Times New Roman" w:cs="Wingdings"/>
      </w:rPr>
    </w:lvl>
    <w:lvl w:ilvl="6">
      <w:numFmt w:val="bullet"/>
      <w:lvlText w:val=""/>
      <w:lvlJc w:val="left"/>
      <w:pPr>
        <w:ind w:left="5760" w:hanging="360"/>
      </w:pPr>
      <w:rPr>
        <w:rFonts w:ascii="Calibri" w:hAnsi="Calibri" w:cs="Symbol"/>
      </w:r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rPr>
        <w:rFonts w:ascii="Times New Roman" w:hAnsi="Times New Roman" w:cs="Wingdings"/>
      </w:rPr>
    </w:lvl>
  </w:abstractNum>
  <w:abstractNum w:abstractNumId="12" w15:restartNumberingAfterBreak="0">
    <w:nsid w:val="3FAA1222"/>
    <w:multiLevelType w:val="multilevel"/>
    <w:tmpl w:val="8C00418E"/>
    <w:styleLink w:val="WWNum11"/>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3" w15:restartNumberingAfterBreak="0">
    <w:nsid w:val="4FEA0656"/>
    <w:multiLevelType w:val="multilevel"/>
    <w:tmpl w:val="833AD60E"/>
    <w:styleLink w:val="WWNum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4" w15:restartNumberingAfterBreak="0">
    <w:nsid w:val="59736636"/>
    <w:multiLevelType w:val="multilevel"/>
    <w:tmpl w:val="F7EEFDE0"/>
    <w:styleLink w:val="WWNum6"/>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5" w15:restartNumberingAfterBreak="0">
    <w:nsid w:val="605F6826"/>
    <w:multiLevelType w:val="hybridMultilevel"/>
    <w:tmpl w:val="620028A2"/>
    <w:lvl w:ilvl="0" w:tplc="5A7A5D4C">
      <w:numFmt w:val="bullet"/>
      <w:pStyle w:val="TM2"/>
      <w:lvlText w:val="•"/>
      <w:lvlJc w:val="left"/>
      <w:pPr>
        <w:ind w:left="644" w:hanging="360"/>
      </w:pPr>
      <w:rPr>
        <w:rFonts w:ascii="Marianne" w:eastAsia="Marianne" w:hAnsi="Marianne" w:cs="Marianne" w:hint="default"/>
        <w:b w:val="0"/>
        <w:bCs w:val="0"/>
        <w:i w:val="0"/>
        <w:iCs w:val="0"/>
        <w:color w:val="F29C52"/>
        <w:w w:val="100"/>
        <w:sz w:val="22"/>
        <w:szCs w:val="22"/>
        <w:lang w:val="fr-FR" w:eastAsia="en-US" w:bidi="ar-SA"/>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61E67FFD"/>
    <w:multiLevelType w:val="multilevel"/>
    <w:tmpl w:val="E310A2BC"/>
    <w:styleLink w:val="WWNum3"/>
    <w:lvl w:ilvl="0">
      <w:numFmt w:val="bullet"/>
      <w:pStyle w:val="Contents2"/>
      <w:lvlText w:val="•"/>
      <w:lvlJc w:val="left"/>
      <w:pPr>
        <w:ind w:left="644" w:hanging="360"/>
      </w:pPr>
      <w:rPr>
        <w:rFonts w:ascii="Times New Roman" w:hAnsi="Times New Roman" w:cs="Marianne"/>
        <w:b w:val="0"/>
        <w:bCs w:val="0"/>
        <w:i w:val="0"/>
        <w:iCs w:val="0"/>
        <w:color w:val="F29C52"/>
        <w:w w:val="100"/>
        <w:sz w:val="22"/>
        <w:szCs w:val="22"/>
        <w:lang w:val="fr-FR" w:eastAsia="en-US" w:bidi="ar-SA"/>
      </w:rPr>
    </w:lvl>
    <w:lvl w:ilvl="1">
      <w:numFmt w:val="bullet"/>
      <w:lvlText w:val="o"/>
      <w:lvlJc w:val="left"/>
      <w:pPr>
        <w:ind w:left="1364" w:hanging="360"/>
      </w:pPr>
      <w:rPr>
        <w:rFonts w:ascii="Times New Roman" w:hAnsi="Times New Roman" w:cs="Courier New"/>
      </w:rPr>
    </w:lvl>
    <w:lvl w:ilvl="2">
      <w:numFmt w:val="bullet"/>
      <w:lvlText w:val=""/>
      <w:lvlJc w:val="left"/>
      <w:pPr>
        <w:ind w:left="2084" w:hanging="360"/>
      </w:pPr>
      <w:rPr>
        <w:rFonts w:ascii="Times New Roman" w:hAnsi="Times New Roman" w:cs="Wingdings"/>
      </w:rPr>
    </w:lvl>
    <w:lvl w:ilvl="3">
      <w:numFmt w:val="bullet"/>
      <w:lvlText w:val=""/>
      <w:lvlJc w:val="left"/>
      <w:pPr>
        <w:ind w:left="2804" w:hanging="360"/>
      </w:pPr>
      <w:rPr>
        <w:rFonts w:ascii="Calibri" w:hAnsi="Calibri" w:cs="Symbol"/>
      </w:rPr>
    </w:lvl>
    <w:lvl w:ilvl="4">
      <w:numFmt w:val="bullet"/>
      <w:lvlText w:val="o"/>
      <w:lvlJc w:val="left"/>
      <w:pPr>
        <w:ind w:left="3524" w:hanging="360"/>
      </w:pPr>
      <w:rPr>
        <w:rFonts w:ascii="Times New Roman" w:hAnsi="Times New Roman" w:cs="Courier New"/>
      </w:rPr>
    </w:lvl>
    <w:lvl w:ilvl="5">
      <w:numFmt w:val="bullet"/>
      <w:lvlText w:val=""/>
      <w:lvlJc w:val="left"/>
      <w:pPr>
        <w:ind w:left="4244" w:hanging="360"/>
      </w:pPr>
      <w:rPr>
        <w:rFonts w:ascii="Times New Roman" w:hAnsi="Times New Roman" w:cs="Wingdings"/>
      </w:rPr>
    </w:lvl>
    <w:lvl w:ilvl="6">
      <w:numFmt w:val="bullet"/>
      <w:lvlText w:val=""/>
      <w:lvlJc w:val="left"/>
      <w:pPr>
        <w:ind w:left="4964" w:hanging="360"/>
      </w:pPr>
      <w:rPr>
        <w:rFonts w:ascii="Calibri" w:hAnsi="Calibri" w:cs="Symbol"/>
      </w:rPr>
    </w:lvl>
    <w:lvl w:ilvl="7">
      <w:numFmt w:val="bullet"/>
      <w:lvlText w:val="o"/>
      <w:lvlJc w:val="left"/>
      <w:pPr>
        <w:ind w:left="5684" w:hanging="360"/>
      </w:pPr>
      <w:rPr>
        <w:rFonts w:ascii="Times New Roman" w:hAnsi="Times New Roman" w:cs="Courier New"/>
      </w:rPr>
    </w:lvl>
    <w:lvl w:ilvl="8">
      <w:numFmt w:val="bullet"/>
      <w:lvlText w:val=""/>
      <w:lvlJc w:val="left"/>
      <w:pPr>
        <w:ind w:left="6404" w:hanging="360"/>
      </w:pPr>
      <w:rPr>
        <w:rFonts w:ascii="Times New Roman" w:hAnsi="Times New Roman" w:cs="Wingdings"/>
      </w:rPr>
    </w:lvl>
  </w:abstractNum>
  <w:abstractNum w:abstractNumId="17" w15:restartNumberingAfterBreak="0">
    <w:nsid w:val="68393166"/>
    <w:multiLevelType w:val="multilevel"/>
    <w:tmpl w:val="AD309440"/>
    <w:styleLink w:val="WWNum5"/>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8" w15:restartNumberingAfterBreak="0">
    <w:nsid w:val="68AB4609"/>
    <w:multiLevelType w:val="multilevel"/>
    <w:tmpl w:val="FF7AA21A"/>
    <w:styleLink w:val="Aucuneliste1"/>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9" w15:restartNumberingAfterBreak="0">
    <w:nsid w:val="69A10D8F"/>
    <w:multiLevelType w:val="multilevel"/>
    <w:tmpl w:val="C0B46E2A"/>
    <w:styleLink w:val="WWNum14"/>
    <w:lvl w:ilvl="0">
      <w:numFmt w:val="bullet"/>
      <w:lvlText w:val="-"/>
      <w:lvlJc w:val="left"/>
      <w:pPr>
        <w:ind w:left="720" w:hanging="360"/>
      </w:pPr>
      <w:rPr>
        <w:rFonts w:ascii="Times New Roman" w:eastAsia="Cambria" w:hAnsi="Times New Roman" w:cs="Calibri"/>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0" w15:restartNumberingAfterBreak="0">
    <w:nsid w:val="79D4082F"/>
    <w:multiLevelType w:val="multilevel"/>
    <w:tmpl w:val="5B50943A"/>
    <w:styleLink w:val="WWNum10"/>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1" w15:restartNumberingAfterBreak="0">
    <w:nsid w:val="7AAD05A8"/>
    <w:multiLevelType w:val="multilevel"/>
    <w:tmpl w:val="64F8ED60"/>
    <w:styleLink w:val="Pasdeliste"/>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634603947">
    <w:abstractNumId w:val="18"/>
  </w:num>
  <w:num w:numId="2" w16cid:durableId="104233305">
    <w:abstractNumId w:val="21"/>
  </w:num>
  <w:num w:numId="3" w16cid:durableId="1224412792">
    <w:abstractNumId w:val="3"/>
  </w:num>
  <w:num w:numId="4" w16cid:durableId="863205262">
    <w:abstractNumId w:val="11"/>
  </w:num>
  <w:num w:numId="5" w16cid:durableId="1379740839">
    <w:abstractNumId w:val="16"/>
  </w:num>
  <w:num w:numId="6" w16cid:durableId="1174612163">
    <w:abstractNumId w:val="13"/>
  </w:num>
  <w:num w:numId="7" w16cid:durableId="22750612">
    <w:abstractNumId w:val="17"/>
  </w:num>
  <w:num w:numId="8" w16cid:durableId="405883379">
    <w:abstractNumId w:val="14"/>
  </w:num>
  <w:num w:numId="9" w16cid:durableId="1334919339">
    <w:abstractNumId w:val="6"/>
  </w:num>
  <w:num w:numId="10" w16cid:durableId="981497311">
    <w:abstractNumId w:val="8"/>
  </w:num>
  <w:num w:numId="11" w16cid:durableId="1988389958">
    <w:abstractNumId w:val="10"/>
  </w:num>
  <w:num w:numId="12" w16cid:durableId="113796347">
    <w:abstractNumId w:val="20"/>
  </w:num>
  <w:num w:numId="13" w16cid:durableId="629089706">
    <w:abstractNumId w:val="12"/>
  </w:num>
  <w:num w:numId="14" w16cid:durableId="1571383086">
    <w:abstractNumId w:val="4"/>
  </w:num>
  <w:num w:numId="15" w16cid:durableId="1490554336">
    <w:abstractNumId w:val="7"/>
  </w:num>
  <w:num w:numId="16" w16cid:durableId="1583444266">
    <w:abstractNumId w:val="19"/>
  </w:num>
  <w:num w:numId="17" w16cid:durableId="987592798">
    <w:abstractNumId w:val="9"/>
  </w:num>
  <w:num w:numId="18" w16cid:durableId="950014686">
    <w:abstractNumId w:val="0"/>
  </w:num>
  <w:num w:numId="19" w16cid:durableId="868764191">
    <w:abstractNumId w:val="2"/>
  </w:num>
  <w:num w:numId="20" w16cid:durableId="463426196">
    <w:abstractNumId w:val="13"/>
    <w:lvlOverride w:ilvl="0">
      <w:startOverride w:val="1"/>
    </w:lvlOverride>
  </w:num>
  <w:num w:numId="21" w16cid:durableId="1387871114">
    <w:abstractNumId w:val="17"/>
    <w:lvlOverride w:ilvl="0">
      <w:startOverride w:val="1"/>
    </w:lvlOverride>
  </w:num>
  <w:num w:numId="22" w16cid:durableId="680815032">
    <w:abstractNumId w:val="14"/>
    <w:lvlOverride w:ilvl="0">
      <w:startOverride w:val="1"/>
    </w:lvlOverride>
  </w:num>
  <w:num w:numId="23" w16cid:durableId="1530725732">
    <w:abstractNumId w:val="6"/>
    <w:lvlOverride w:ilvl="0">
      <w:startOverride w:val="1"/>
    </w:lvlOverride>
  </w:num>
  <w:num w:numId="24" w16cid:durableId="1860462153">
    <w:abstractNumId w:val="8"/>
    <w:lvlOverride w:ilvl="0">
      <w:startOverride w:val="1"/>
    </w:lvlOverride>
  </w:num>
  <w:num w:numId="25" w16cid:durableId="553734191">
    <w:abstractNumId w:val="4"/>
  </w:num>
  <w:num w:numId="26" w16cid:durableId="1462766275">
    <w:abstractNumId w:val="10"/>
    <w:lvlOverride w:ilvl="0">
      <w:startOverride w:val="1"/>
    </w:lvlOverride>
  </w:num>
  <w:num w:numId="27" w16cid:durableId="73862090">
    <w:abstractNumId w:val="20"/>
    <w:lvlOverride w:ilvl="0">
      <w:startOverride w:val="1"/>
    </w:lvlOverride>
  </w:num>
  <w:num w:numId="28" w16cid:durableId="1723944768">
    <w:abstractNumId w:val="12"/>
    <w:lvlOverride w:ilvl="0">
      <w:startOverride w:val="1"/>
    </w:lvlOverride>
  </w:num>
  <w:num w:numId="29" w16cid:durableId="507184046">
    <w:abstractNumId w:val="7"/>
  </w:num>
  <w:num w:numId="30" w16cid:durableId="1653412909">
    <w:abstractNumId w:val="19"/>
  </w:num>
  <w:num w:numId="31" w16cid:durableId="1017652899">
    <w:abstractNumId w:val="0"/>
    <w:lvlOverride w:ilvl="0">
      <w:startOverride w:val="1"/>
    </w:lvlOverride>
  </w:num>
  <w:num w:numId="32" w16cid:durableId="1842113190">
    <w:abstractNumId w:val="9"/>
  </w:num>
  <w:num w:numId="33" w16cid:durableId="506479874">
    <w:abstractNumId w:val="5"/>
  </w:num>
  <w:num w:numId="34" w16cid:durableId="1199929196">
    <w:abstractNumId w:val="1"/>
  </w:num>
  <w:num w:numId="35" w16cid:durableId="132435934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19A"/>
    <w:rsid w:val="0002747A"/>
    <w:rsid w:val="00035F3A"/>
    <w:rsid w:val="00056931"/>
    <w:rsid w:val="000626A4"/>
    <w:rsid w:val="000A361D"/>
    <w:rsid w:val="000B7616"/>
    <w:rsid w:val="001051AE"/>
    <w:rsid w:val="0011119A"/>
    <w:rsid w:val="00123027"/>
    <w:rsid w:val="00127BC2"/>
    <w:rsid w:val="001A5190"/>
    <w:rsid w:val="00250F3E"/>
    <w:rsid w:val="00295896"/>
    <w:rsid w:val="002B27BD"/>
    <w:rsid w:val="002F2B3B"/>
    <w:rsid w:val="004A23CC"/>
    <w:rsid w:val="004B59FB"/>
    <w:rsid w:val="00547E64"/>
    <w:rsid w:val="0056231D"/>
    <w:rsid w:val="00646C5C"/>
    <w:rsid w:val="00676C79"/>
    <w:rsid w:val="006E45E9"/>
    <w:rsid w:val="006F1D59"/>
    <w:rsid w:val="00702D64"/>
    <w:rsid w:val="00763E1F"/>
    <w:rsid w:val="0077187D"/>
    <w:rsid w:val="007A5CB8"/>
    <w:rsid w:val="007B44BF"/>
    <w:rsid w:val="007C787D"/>
    <w:rsid w:val="007F784D"/>
    <w:rsid w:val="00817C15"/>
    <w:rsid w:val="00854DFD"/>
    <w:rsid w:val="008C4D62"/>
    <w:rsid w:val="009129A2"/>
    <w:rsid w:val="00932E59"/>
    <w:rsid w:val="00A328DF"/>
    <w:rsid w:val="00A445D8"/>
    <w:rsid w:val="00A557BF"/>
    <w:rsid w:val="00B65528"/>
    <w:rsid w:val="00BD6B47"/>
    <w:rsid w:val="00C3760B"/>
    <w:rsid w:val="00C56D03"/>
    <w:rsid w:val="00D11367"/>
    <w:rsid w:val="00D40410"/>
    <w:rsid w:val="00D60406"/>
    <w:rsid w:val="00D83E3D"/>
    <w:rsid w:val="00DA1303"/>
    <w:rsid w:val="00E22EF1"/>
    <w:rsid w:val="00E275BA"/>
    <w:rsid w:val="00E765A6"/>
    <w:rsid w:val="00E803BB"/>
    <w:rsid w:val="00ED24BC"/>
    <w:rsid w:val="00ED5048"/>
    <w:rsid w:val="00EF44B5"/>
    <w:rsid w:val="00F13581"/>
    <w:rsid w:val="00F37EEE"/>
    <w:rsid w:val="00F45667"/>
    <w:rsid w:val="00F812F8"/>
    <w:rsid w:val="00FA68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BBF56"/>
  <w15:docId w15:val="{267EB7F4-8C2C-4FB3-8DCC-C9B33643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fr-FR"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C79"/>
    <w:pPr>
      <w:widowControl/>
      <w:autoSpaceDN/>
      <w:spacing w:after="240" w:line="260" w:lineRule="atLeast"/>
      <w:textAlignment w:val="auto"/>
    </w:pPr>
    <w:rPr>
      <w:rFonts w:ascii="Marianne Light" w:eastAsiaTheme="minorHAnsi" w:hAnsi="Marianne Light" w:cstheme="minorBidi"/>
      <w:sz w:val="20"/>
      <w:lang w:eastAsia="en-US"/>
    </w:rPr>
  </w:style>
  <w:style w:type="paragraph" w:styleId="Titre1">
    <w:name w:val="heading 1"/>
    <w:basedOn w:val="Normal"/>
    <w:next w:val="Normal"/>
    <w:link w:val="Titre1Car"/>
    <w:uiPriority w:val="9"/>
    <w:qFormat/>
    <w:rsid w:val="00676C79"/>
    <w:pPr>
      <w:keepNext/>
      <w:spacing w:before="240"/>
      <w:outlineLvl w:val="0"/>
    </w:pPr>
    <w:rPr>
      <w:rFonts w:ascii="Marianne" w:hAnsi="Marianne"/>
      <w:b/>
      <w:bCs/>
      <w:color w:val="506C89"/>
      <w:sz w:val="28"/>
      <w:szCs w:val="36"/>
    </w:rPr>
  </w:style>
  <w:style w:type="paragraph" w:styleId="Titre2">
    <w:name w:val="heading 2"/>
    <w:basedOn w:val="Normal"/>
    <w:next w:val="Normal"/>
    <w:link w:val="Titre2Car"/>
    <w:uiPriority w:val="9"/>
    <w:unhideWhenUsed/>
    <w:qFormat/>
    <w:rsid w:val="00676C79"/>
    <w:pPr>
      <w:keepNext/>
      <w:spacing w:before="180"/>
      <w:outlineLvl w:val="1"/>
    </w:pPr>
    <w:rPr>
      <w:rFonts w:ascii="Marianne Medium" w:hAnsi="Marianne Medium"/>
      <w:color w:val="EC8398"/>
      <w:sz w:val="26"/>
      <w:szCs w:val="26"/>
    </w:rPr>
  </w:style>
  <w:style w:type="paragraph" w:styleId="Titre3">
    <w:name w:val="heading 3"/>
    <w:basedOn w:val="Normal"/>
    <w:next w:val="Normal"/>
    <w:link w:val="Titre3Car"/>
    <w:uiPriority w:val="9"/>
    <w:unhideWhenUsed/>
    <w:qFormat/>
    <w:rsid w:val="00676C79"/>
    <w:pPr>
      <w:keepNext/>
      <w:spacing w:before="120"/>
      <w:outlineLvl w:val="2"/>
    </w:pPr>
    <w:rPr>
      <w:rFonts w:ascii="Marianne" w:hAnsi="Marianne"/>
      <w:b/>
      <w:sz w:val="22"/>
    </w:rPr>
  </w:style>
  <w:style w:type="paragraph" w:styleId="Titre4">
    <w:name w:val="heading 4"/>
    <w:basedOn w:val="Normal"/>
    <w:next w:val="Normal"/>
    <w:link w:val="Titre4Car"/>
    <w:uiPriority w:val="9"/>
    <w:unhideWhenUsed/>
    <w:rsid w:val="00676C79"/>
    <w:pPr>
      <w:keepNext/>
      <w:spacing w:before="120" w:after="180"/>
      <w:ind w:left="397"/>
      <w:outlineLvl w:val="3"/>
    </w:pPr>
    <w:rPr>
      <w:sz w:val="22"/>
    </w:rPr>
  </w:style>
  <w:style w:type="paragraph" w:styleId="Titre5">
    <w:name w:val="heading 5"/>
    <w:aliases w:val="Titre 5 ne pas utiliser"/>
    <w:basedOn w:val="Normal"/>
    <w:next w:val="Normal"/>
    <w:link w:val="Titre5Car"/>
    <w:uiPriority w:val="9"/>
    <w:semiHidden/>
    <w:qFormat/>
    <w:rsid w:val="00676C79"/>
    <w:pPr>
      <w:keepNext/>
      <w:keepLines/>
      <w:spacing w:before="200" w:after="0"/>
      <w:outlineLvl w:val="4"/>
    </w:pPr>
    <w:rPr>
      <w:rFonts w:asciiTheme="majorHAnsi" w:eastAsiaTheme="majorEastAsia" w:hAnsiTheme="majorHAnsi" w:cstheme="majorBidi"/>
      <w:color w:val="0A2F40" w:themeColor="accent1" w:themeShade="7F"/>
    </w:rPr>
  </w:style>
  <w:style w:type="paragraph" w:styleId="Titre6">
    <w:name w:val="heading 6"/>
    <w:basedOn w:val="Normal"/>
    <w:next w:val="Normal"/>
    <w:link w:val="Titre6Car"/>
    <w:uiPriority w:val="9"/>
    <w:semiHidden/>
    <w:qFormat/>
    <w:rsid w:val="00676C79"/>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qFormat/>
    <w:rsid w:val="00676C79"/>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qFormat/>
    <w:rsid w:val="00676C79"/>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qFormat/>
    <w:rsid w:val="00676C79"/>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rsid w:val="00676C7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76C79"/>
  </w:style>
  <w:style w:type="paragraph" w:customStyle="1" w:styleId="Standard">
    <w:name w:val="Standard"/>
    <w:pPr>
      <w:widowControl/>
      <w:suppressAutoHyphens/>
      <w:spacing w:after="240" w:line="260" w:lineRule="atLeast"/>
    </w:pPr>
    <w:rPr>
      <w:rFonts w:ascii="Marianne Light" w:eastAsia="Cambria" w:hAnsi="Marianne Light"/>
      <w:sz w:val="20"/>
      <w:lang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e">
    <w:name w:val="List"/>
    <w:basedOn w:val="Textbody"/>
    <w:rPr>
      <w:rFonts w:cs="Arial"/>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itre">
    <w:name w:val="Title"/>
    <w:aliases w:val="Titre fiche"/>
    <w:basedOn w:val="Normal"/>
    <w:next w:val="Normal"/>
    <w:link w:val="TitreCar"/>
    <w:uiPriority w:val="7"/>
    <w:rsid w:val="00676C79"/>
    <w:pPr>
      <w:jc w:val="center"/>
    </w:pPr>
    <w:rPr>
      <w:rFonts w:ascii="Marianne" w:hAnsi="Marianne"/>
      <w:b/>
      <w:bCs/>
      <w:sz w:val="32"/>
      <w:szCs w:val="32"/>
    </w:rPr>
  </w:style>
  <w:style w:type="paragraph" w:styleId="Sous-titre">
    <w:name w:val="Subtitle"/>
    <w:basedOn w:val="Normal"/>
    <w:next w:val="Normal"/>
    <w:link w:val="Sous-titreCar"/>
    <w:uiPriority w:val="9"/>
    <w:rsid w:val="00676C79"/>
    <w:pPr>
      <w:jc w:val="center"/>
    </w:pPr>
    <w:rPr>
      <w:sz w:val="26"/>
      <w:szCs w:val="26"/>
    </w:rPr>
  </w:style>
  <w:style w:type="paragraph" w:styleId="Paragraphedeliste">
    <w:name w:val="List Paragraph"/>
    <w:basedOn w:val="Normal"/>
    <w:link w:val="ParagraphedelisteCar"/>
    <w:rsid w:val="00676C79"/>
    <w:pPr>
      <w:numPr>
        <w:numId w:val="34"/>
      </w:numPr>
      <w:contextualSpacing/>
    </w:pPr>
  </w:style>
  <w:style w:type="paragraph" w:customStyle="1" w:styleId="Marginalia">
    <w:name w:val="Marginalia"/>
    <w:basedOn w:val="Standard"/>
    <w:pPr>
      <w:spacing w:before="56" w:after="0" w:line="240" w:lineRule="auto"/>
      <w:ind w:left="57" w:right="57"/>
    </w:pPr>
    <w:rPr>
      <w:szCs w:val="20"/>
    </w:rPr>
  </w:style>
  <w:style w:type="paragraph" w:styleId="Objetducommentaire">
    <w:name w:val="annotation subject"/>
    <w:basedOn w:val="Commentaire"/>
    <w:next w:val="Commentaire"/>
    <w:link w:val="ObjetducommentaireCar"/>
    <w:uiPriority w:val="99"/>
    <w:unhideWhenUsed/>
    <w:rsid w:val="00676C79"/>
    <w:rPr>
      <w:b/>
      <w:bCs/>
    </w:rPr>
  </w:style>
  <w:style w:type="paragraph" w:styleId="Rvision">
    <w:name w:val="Revision"/>
    <w:pPr>
      <w:widowControl/>
      <w:suppressAutoHyphens/>
    </w:pPr>
  </w:style>
  <w:style w:type="paragraph" w:styleId="Textedebulles">
    <w:name w:val="Balloon Text"/>
    <w:basedOn w:val="Normal"/>
    <w:link w:val="TextedebullesCar"/>
    <w:uiPriority w:val="99"/>
    <w:unhideWhenUsed/>
    <w:rsid w:val="00676C79"/>
    <w:pPr>
      <w:spacing w:after="0" w:line="240" w:lineRule="auto"/>
    </w:pPr>
    <w:rPr>
      <w:rFonts w:ascii="Tahoma" w:hAnsi="Tahoma" w:cs="Tahoma"/>
      <w:sz w:val="16"/>
      <w:szCs w:val="16"/>
    </w:rPr>
  </w:style>
  <w:style w:type="paragraph" w:customStyle="1" w:styleId="TableParagraph">
    <w:name w:val="Table Paragraph"/>
    <w:basedOn w:val="Normal"/>
    <w:uiPriority w:val="99"/>
    <w:unhideWhenUsed/>
    <w:qFormat/>
    <w:rsid w:val="00676C79"/>
    <w:pPr>
      <w:widowControl w:val="0"/>
      <w:autoSpaceDE w:val="0"/>
      <w:autoSpaceDN w:val="0"/>
      <w:spacing w:before="78" w:after="0" w:line="240" w:lineRule="auto"/>
      <w:ind w:left="132"/>
    </w:pPr>
    <w:rPr>
      <w:rFonts w:eastAsia="Marianne Light" w:cs="Marianne Light"/>
      <w:sz w:val="22"/>
    </w:rPr>
  </w:style>
  <w:style w:type="paragraph" w:customStyle="1" w:styleId="TableContents">
    <w:name w:val="Table Contents"/>
    <w:basedOn w:val="TableParagraph"/>
    <w:pPr>
      <w:spacing w:before="40" w:after="40"/>
      <w:ind w:left="57" w:right="57"/>
    </w:pPr>
    <w:rPr>
      <w:color w:val="231F20"/>
      <w:sz w:val="18"/>
    </w:rPr>
  </w:style>
  <w:style w:type="paragraph" w:styleId="Date">
    <w:name w:val="Date"/>
    <w:basedOn w:val="Normal"/>
    <w:next w:val="Normal"/>
    <w:link w:val="DateCar"/>
    <w:uiPriority w:val="99"/>
    <w:unhideWhenUsed/>
    <w:rsid w:val="00676C79"/>
  </w:style>
  <w:style w:type="paragraph" w:customStyle="1" w:styleId="Default">
    <w:name w:val="Default"/>
    <w:rsid w:val="00676C79"/>
    <w:pPr>
      <w:widowControl/>
      <w:autoSpaceDE w:val="0"/>
      <w:adjustRightInd w:val="0"/>
      <w:textAlignment w:val="auto"/>
    </w:pPr>
    <w:rPr>
      <w:rFonts w:ascii="Georgia" w:eastAsiaTheme="minorHAnsi" w:hAnsi="Georgia" w:cs="Georgia"/>
      <w:color w:val="000000"/>
      <w:sz w:val="24"/>
      <w:szCs w:val="24"/>
      <w:lang w:eastAsia="en-US"/>
    </w:rPr>
  </w:style>
  <w:style w:type="paragraph" w:customStyle="1" w:styleId="Encadr">
    <w:name w:val="Encadré"/>
    <w:basedOn w:val="Normal"/>
    <w:qFormat/>
    <w:rsid w:val="00676C79"/>
    <w:pPr>
      <w:pBdr>
        <w:top w:val="dotted" w:sz="4" w:space="1" w:color="auto"/>
        <w:left w:val="dotted" w:sz="4" w:space="4" w:color="auto"/>
        <w:bottom w:val="dotted" w:sz="4" w:space="1" w:color="auto"/>
        <w:right w:val="dotted" w:sz="4" w:space="4" w:color="auto"/>
      </w:pBdr>
      <w:spacing w:before="240"/>
      <w:ind w:left="284" w:right="284"/>
    </w:pPr>
  </w:style>
  <w:style w:type="paragraph" w:customStyle="1" w:styleId="Encadrcontexte">
    <w:name w:val="Encadré contexte"/>
    <w:basedOn w:val="Normal"/>
    <w:qFormat/>
    <w:rsid w:val="00676C79"/>
    <w:pPr>
      <w:pBdr>
        <w:top w:val="single" w:sz="8" w:space="1" w:color="215479"/>
        <w:left w:val="single" w:sz="8" w:space="4" w:color="215479"/>
        <w:bottom w:val="single" w:sz="8" w:space="1" w:color="215479"/>
        <w:right w:val="single" w:sz="8" w:space="4" w:color="215479"/>
      </w:pBdr>
      <w:shd w:val="clear" w:color="auto" w:fill="FEFBF9"/>
      <w:spacing w:before="40" w:after="0" w:line="240" w:lineRule="atLeast"/>
      <w:ind w:left="170"/>
    </w:pPr>
    <w:rPr>
      <w:sz w:val="18"/>
      <w:szCs w:val="21"/>
    </w:rPr>
  </w:style>
  <w:style w:type="paragraph" w:customStyle="1" w:styleId="Encadrcontextetitre">
    <w:name w:val="Encadré contexte (titre)"/>
    <w:basedOn w:val="Normal"/>
    <w:qFormat/>
    <w:rsid w:val="00676C79"/>
    <w:pPr>
      <w:pBdr>
        <w:top w:val="single" w:sz="8" w:space="1" w:color="215479"/>
        <w:left w:val="single" w:sz="8" w:space="4" w:color="215479"/>
        <w:bottom w:val="single" w:sz="8" w:space="1" w:color="215479"/>
        <w:right w:val="single" w:sz="8" w:space="4" w:color="215479"/>
      </w:pBdr>
      <w:shd w:val="clear" w:color="auto" w:fill="FEFBF9"/>
      <w:spacing w:before="120" w:after="0"/>
      <w:ind w:left="170"/>
    </w:pPr>
    <w:rPr>
      <w:rFonts w:ascii="Marianne" w:hAnsi="Marianne"/>
      <w:b/>
      <w:bCs/>
      <w:color w:val="22557A"/>
    </w:rPr>
  </w:style>
  <w:style w:type="paragraph" w:customStyle="1" w:styleId="Encadrdocumenttitre">
    <w:name w:val="Encadré document (titre)"/>
    <w:basedOn w:val="Normal"/>
    <w:qFormat/>
    <w:rsid w:val="00676C79"/>
    <w:pPr>
      <w:pBdr>
        <w:left w:val="single" w:sz="48" w:space="0" w:color="F3F0EF"/>
      </w:pBdr>
      <w:shd w:val="clear" w:color="auto" w:fill="F3F0EF"/>
      <w:spacing w:before="120" w:after="0" w:line="288" w:lineRule="auto"/>
      <w:ind w:left="170"/>
    </w:pPr>
    <w:rPr>
      <w:rFonts w:ascii="Marianne" w:hAnsi="Marianne"/>
      <w:b/>
      <w:color w:val="22557A"/>
    </w:rPr>
  </w:style>
  <w:style w:type="paragraph" w:customStyle="1" w:styleId="Encadrdocument">
    <w:name w:val="Encadré document"/>
    <w:basedOn w:val="Encadrdocumenttitre"/>
    <w:qFormat/>
    <w:rsid w:val="00676C79"/>
    <w:pPr>
      <w:spacing w:before="40" w:line="240" w:lineRule="atLeast"/>
    </w:pPr>
    <w:rPr>
      <w:rFonts w:ascii="Marianne Light" w:hAnsi="Marianne Light"/>
      <w:b w:val="0"/>
      <w:bCs/>
      <w:color w:val="auto"/>
      <w:sz w:val="18"/>
      <w:szCs w:val="21"/>
    </w:rPr>
  </w:style>
  <w:style w:type="paragraph" w:customStyle="1" w:styleId="Encadrfond">
    <w:name w:val="Encadré fond"/>
    <w:basedOn w:val="Normal"/>
    <w:qFormat/>
    <w:rsid w:val="00676C79"/>
    <w:pPr>
      <w:shd w:val="clear" w:color="auto" w:fill="CFD5E8"/>
    </w:pPr>
  </w:style>
  <w:style w:type="paragraph" w:customStyle="1" w:styleId="Encartgras">
    <w:name w:val="Encart gras"/>
    <w:basedOn w:val="Normal"/>
    <w:qFormat/>
    <w:rsid w:val="00676C79"/>
    <w:pPr>
      <w:pBdr>
        <w:left w:val="single" w:sz="24" w:space="4" w:color="465F9D"/>
      </w:pBdr>
    </w:pPr>
    <w:rPr>
      <w:b/>
    </w:rPr>
  </w:style>
  <w:style w:type="paragraph" w:customStyle="1" w:styleId="Encartsimple">
    <w:name w:val="Encart simple"/>
    <w:basedOn w:val="Encartgras"/>
    <w:qFormat/>
    <w:rsid w:val="00676C79"/>
    <w:rPr>
      <w:b w:val="0"/>
      <w:lang w:val="la-Latn"/>
    </w:rPr>
  </w:style>
  <w:style w:type="paragraph" w:customStyle="1" w:styleId="Enttedecolonnetableau">
    <w:name w:val="Ent^te de colonne tableau"/>
    <w:basedOn w:val="Normal"/>
    <w:qFormat/>
    <w:rsid w:val="00676C79"/>
    <w:rPr>
      <w:b/>
      <w:color w:val="465F9D"/>
    </w:rPr>
  </w:style>
  <w:style w:type="paragraph" w:customStyle="1" w:styleId="En-tteetpieddepage">
    <w:name w:val="En-tête et pied de page"/>
    <w:basedOn w:val="Standard"/>
  </w:style>
  <w:style w:type="paragraph" w:customStyle="1" w:styleId="HeaderandFooter">
    <w:name w:val="Header and Footer"/>
    <w:basedOn w:val="Standard"/>
  </w:style>
  <w:style w:type="paragraph" w:styleId="En-tte">
    <w:name w:val="header"/>
    <w:basedOn w:val="Normal"/>
    <w:link w:val="En-tteCar"/>
    <w:uiPriority w:val="99"/>
    <w:unhideWhenUsed/>
    <w:rsid w:val="00676C79"/>
    <w:pPr>
      <w:tabs>
        <w:tab w:val="center" w:pos="4536"/>
        <w:tab w:val="right" w:pos="9072"/>
      </w:tabs>
      <w:spacing w:after="0" w:line="240" w:lineRule="auto"/>
    </w:pPr>
  </w:style>
  <w:style w:type="paragraph" w:customStyle="1" w:styleId="Entte2">
    <w:name w:val="Entête 2"/>
    <w:basedOn w:val="Normal"/>
    <w:qFormat/>
    <w:rsid w:val="00676C79"/>
    <w:pPr>
      <w:tabs>
        <w:tab w:val="center" w:pos="4536"/>
        <w:tab w:val="right" w:pos="9072"/>
      </w:tabs>
      <w:spacing w:before="50" w:after="0" w:line="240" w:lineRule="auto"/>
      <w:ind w:left="1843"/>
    </w:pPr>
    <w:rPr>
      <w:rFonts w:ascii="DINPro-Bold" w:hAnsi="DINPro-Bold"/>
      <w:color w:val="FFFFFF" w:themeColor="background1"/>
      <w:sz w:val="16"/>
    </w:rPr>
  </w:style>
  <w:style w:type="paragraph" w:styleId="Titreindex">
    <w:name w:val="index heading"/>
    <w:basedOn w:val="Titre"/>
  </w:style>
  <w:style w:type="paragraph" w:customStyle="1" w:styleId="ContentsHeading">
    <w:name w:val="Contents Heading"/>
    <w:basedOn w:val="Standard"/>
    <w:next w:val="Standard"/>
    <w:pPr>
      <w:ind w:left="426"/>
    </w:pPr>
    <w:rPr>
      <w:rFonts w:ascii="Marianne ExtraBold" w:eastAsia="Marianne ExtraBold" w:hAnsi="Marianne ExtraBold" w:cs="Marianne ExtraBold"/>
      <w:b/>
      <w:bCs/>
      <w:color w:val="215479"/>
      <w:sz w:val="30"/>
      <w:szCs w:val="30"/>
    </w:rPr>
  </w:style>
  <w:style w:type="paragraph" w:customStyle="1" w:styleId="Enttelignetableau">
    <w:name w:val="Entête ligne tableau"/>
    <w:basedOn w:val="Normal"/>
    <w:qFormat/>
    <w:rsid w:val="00676C79"/>
    <w:rPr>
      <w:b/>
      <w:color w:val="465F9D"/>
    </w:rPr>
  </w:style>
  <w:style w:type="paragraph" w:customStyle="1" w:styleId="Listetableau">
    <w:name w:val="Liste tableau"/>
    <w:basedOn w:val="TableParagraph"/>
    <w:uiPriority w:val="2"/>
    <w:qFormat/>
    <w:rsid w:val="00676C79"/>
    <w:pPr>
      <w:numPr>
        <w:numId w:val="33"/>
      </w:numPr>
      <w:spacing w:before="0" w:after="40"/>
      <w:ind w:right="811"/>
      <w:contextualSpacing/>
    </w:pPr>
    <w:rPr>
      <w:color w:val="231F20"/>
      <w:sz w:val="18"/>
    </w:rPr>
  </w:style>
  <w:style w:type="paragraph" w:styleId="NormalWeb">
    <w:name w:val="Normal (Web)"/>
    <w:basedOn w:val="Normal"/>
    <w:uiPriority w:val="99"/>
    <w:unhideWhenUsed/>
    <w:rsid w:val="00676C7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ootnote">
    <w:name w:val="Footnote"/>
    <w:basedOn w:val="Standard"/>
    <w:pPr>
      <w:spacing w:after="120" w:line="240" w:lineRule="auto"/>
      <w:ind w:left="113" w:hanging="113"/>
      <w:contextualSpacing/>
    </w:pPr>
    <w:rPr>
      <w:sz w:val="16"/>
      <w:szCs w:val="20"/>
    </w:rPr>
  </w:style>
  <w:style w:type="paragraph" w:customStyle="1" w:styleId="Endnote">
    <w:name w:val="Endnote"/>
    <w:basedOn w:val="Standard"/>
    <w:pPr>
      <w:spacing w:after="0" w:line="240" w:lineRule="auto"/>
    </w:pPr>
    <w:rPr>
      <w:szCs w:val="20"/>
    </w:rPr>
  </w:style>
  <w:style w:type="paragraph" w:styleId="Pieddepage">
    <w:name w:val="footer"/>
    <w:basedOn w:val="Titre"/>
    <w:link w:val="PieddepageCar"/>
    <w:uiPriority w:val="99"/>
    <w:unhideWhenUsed/>
    <w:rsid w:val="00676C79"/>
    <w:pPr>
      <w:pBdr>
        <w:top w:val="single" w:sz="36" w:space="1" w:color="EC8398"/>
        <w:left w:val="single" w:sz="36" w:space="4" w:color="EC8398"/>
        <w:bottom w:val="single" w:sz="36" w:space="1" w:color="EC8398"/>
        <w:right w:val="single" w:sz="36" w:space="4" w:color="EC8398"/>
      </w:pBdr>
      <w:shd w:val="clear" w:color="auto" w:fill="EC8398"/>
      <w:spacing w:before="120" w:after="120"/>
      <w:jc w:val="right"/>
    </w:pPr>
    <w:rPr>
      <w:color w:val="FFFFFF" w:themeColor="background1"/>
      <w:sz w:val="18"/>
      <w:szCs w:val="18"/>
    </w:rPr>
  </w:style>
  <w:style w:type="paragraph" w:styleId="Sansinterligne">
    <w:name w:val="No Spacing"/>
    <w:uiPriority w:val="1"/>
    <w:qFormat/>
    <w:rsid w:val="00676C79"/>
    <w:pPr>
      <w:widowControl/>
      <w:autoSpaceDN/>
      <w:textAlignment w:val="auto"/>
    </w:pPr>
    <w:rPr>
      <w:rFonts w:asciiTheme="minorHAnsi" w:eastAsiaTheme="minorHAnsi" w:hAnsiTheme="minorHAnsi" w:cstheme="minorBidi"/>
      <w:lang w:eastAsia="en-US"/>
    </w:rPr>
  </w:style>
  <w:style w:type="paragraph" w:customStyle="1" w:styleId="Titredecollection">
    <w:name w:val="Titre de collection"/>
    <w:basedOn w:val="Normal"/>
    <w:qFormat/>
    <w:rsid w:val="00676C79"/>
    <w:pPr>
      <w:suppressAutoHyphens/>
    </w:pPr>
    <w:rPr>
      <w:sz w:val="48"/>
      <w:szCs w:val="48"/>
    </w:rPr>
  </w:style>
  <w:style w:type="paragraph" w:customStyle="1" w:styleId="Titredudocument">
    <w:name w:val="Titre du document"/>
    <w:basedOn w:val="Normal"/>
    <w:qFormat/>
    <w:rsid w:val="00676C79"/>
    <w:pPr>
      <w:suppressAutoHyphens/>
    </w:pPr>
    <w:rPr>
      <w:rFonts w:ascii="Marianne Medium" w:hAnsi="Marianne Medium"/>
      <w:sz w:val="56"/>
      <w:szCs w:val="56"/>
    </w:rPr>
  </w:style>
  <w:style w:type="paragraph" w:customStyle="1" w:styleId="Titretableau">
    <w:name w:val="Titre tableau"/>
    <w:basedOn w:val="Normal"/>
    <w:uiPriority w:val="1"/>
    <w:qFormat/>
    <w:rsid w:val="00676C79"/>
    <w:pPr>
      <w:widowControl w:val="0"/>
      <w:autoSpaceDE w:val="0"/>
      <w:autoSpaceDN w:val="0"/>
      <w:snapToGrid w:val="0"/>
      <w:spacing w:before="40" w:after="40" w:line="240" w:lineRule="auto"/>
      <w:ind w:left="57" w:right="57"/>
      <w:contextualSpacing/>
      <w:outlineLvl w:val="4"/>
    </w:pPr>
    <w:rPr>
      <w:rFonts w:ascii="Marianne" w:hAnsi="Marianne"/>
      <w:b/>
      <w:color w:val="FFFFFF"/>
      <w:spacing w:val="-2"/>
    </w:rPr>
  </w:style>
  <w:style w:type="paragraph" w:customStyle="1" w:styleId="Contents1">
    <w:name w:val="Contents 1"/>
    <w:basedOn w:val="Standard"/>
    <w:next w:val="Standard"/>
    <w:autoRedefine/>
    <w:pPr>
      <w:tabs>
        <w:tab w:val="right" w:pos="8222"/>
      </w:tabs>
    </w:pPr>
    <w:rPr>
      <w:rFonts w:ascii="Marianne" w:eastAsia="Marianne" w:hAnsi="Marianne" w:cs="Marianne"/>
      <w:b/>
      <w:bCs/>
      <w:color w:val="215479"/>
      <w:sz w:val="24"/>
      <w:szCs w:val="32"/>
    </w:rPr>
  </w:style>
  <w:style w:type="paragraph" w:customStyle="1" w:styleId="Contents3">
    <w:name w:val="Contents 3"/>
    <w:basedOn w:val="Standard"/>
    <w:next w:val="Standard"/>
    <w:autoRedefine/>
    <w:pPr>
      <w:tabs>
        <w:tab w:val="right" w:leader="dot" w:pos="9215"/>
      </w:tabs>
      <w:ind w:left="993"/>
    </w:pPr>
    <w:rPr>
      <w:sz w:val="18"/>
      <w:szCs w:val="21"/>
    </w:rPr>
  </w:style>
  <w:style w:type="paragraph" w:customStyle="1" w:styleId="Contents2">
    <w:name w:val="Contents 2"/>
    <w:basedOn w:val="Contents3"/>
    <w:next w:val="Standard"/>
    <w:autoRedefine/>
    <w:pPr>
      <w:numPr>
        <w:numId w:val="5"/>
      </w:numPr>
      <w:tabs>
        <w:tab w:val="clear" w:pos="9215"/>
        <w:tab w:val="right" w:pos="9564"/>
      </w:tabs>
    </w:pPr>
  </w:style>
  <w:style w:type="paragraph" w:customStyle="1" w:styleId="Contenudecadre">
    <w:name w:val="Contenu de cadre"/>
    <w:basedOn w:val="Standard"/>
  </w:style>
  <w:style w:type="paragraph" w:customStyle="1" w:styleId="Framecontents">
    <w:name w:val="Frame contents"/>
    <w:basedOn w:val="Standard"/>
  </w:style>
  <w:style w:type="paragraph" w:customStyle="1" w:styleId="Comment">
    <w:name w:val="Comment"/>
    <w:basedOn w:val="Standard"/>
    <w:pPr>
      <w:spacing w:before="56" w:after="0" w:line="240" w:lineRule="auto"/>
      <w:ind w:left="57" w:right="57"/>
    </w:pPr>
    <w:rPr>
      <w:szCs w:val="20"/>
    </w:rPr>
  </w:style>
  <w:style w:type="paragraph" w:styleId="Commentaire">
    <w:name w:val="annotation text"/>
    <w:basedOn w:val="Normal"/>
    <w:link w:val="CommentaireCar"/>
    <w:uiPriority w:val="99"/>
    <w:unhideWhenUsed/>
    <w:rsid w:val="00676C79"/>
    <w:pPr>
      <w:spacing w:line="240" w:lineRule="auto"/>
    </w:pPr>
    <w:rPr>
      <w:szCs w:val="20"/>
    </w:rPr>
  </w:style>
  <w:style w:type="character" w:styleId="Marquedecommentaire">
    <w:name w:val="annotation reference"/>
    <w:uiPriority w:val="99"/>
    <w:rsid w:val="00676C79"/>
    <w:rPr>
      <w:sz w:val="16"/>
      <w:szCs w:val="16"/>
    </w:rPr>
  </w:style>
  <w:style w:type="character" w:customStyle="1" w:styleId="CommentaireCar">
    <w:name w:val="Commentaire Car"/>
    <w:basedOn w:val="Policepardfaut"/>
    <w:link w:val="Commentaire"/>
    <w:uiPriority w:val="99"/>
    <w:rsid w:val="00676C79"/>
    <w:rPr>
      <w:rFonts w:ascii="Marianne Light" w:eastAsiaTheme="minorHAnsi" w:hAnsi="Marianne Light" w:cstheme="minorBidi"/>
      <w:sz w:val="20"/>
      <w:szCs w:val="20"/>
      <w:lang w:eastAsia="en-US"/>
    </w:rPr>
  </w:style>
  <w:style w:type="character" w:customStyle="1" w:styleId="ObjetducommentaireCar">
    <w:name w:val="Objet du commentaire Car"/>
    <w:basedOn w:val="CommentaireCar"/>
    <w:link w:val="Objetducommentaire"/>
    <w:uiPriority w:val="99"/>
    <w:rsid w:val="00676C79"/>
    <w:rPr>
      <w:rFonts w:ascii="Marianne Light" w:eastAsiaTheme="minorHAnsi" w:hAnsi="Marianne Light" w:cstheme="minorBidi"/>
      <w:b/>
      <w:bCs/>
      <w:sz w:val="20"/>
      <w:szCs w:val="20"/>
      <w:lang w:eastAsia="en-US"/>
    </w:rPr>
  </w:style>
  <w:style w:type="character" w:customStyle="1" w:styleId="TextedebullesCar">
    <w:name w:val="Texte de bulles Car"/>
    <w:basedOn w:val="Policepardfaut"/>
    <w:link w:val="Textedebulles"/>
    <w:uiPriority w:val="99"/>
    <w:rsid w:val="00676C79"/>
    <w:rPr>
      <w:rFonts w:ascii="Tahoma" w:eastAsiaTheme="minorHAnsi" w:hAnsi="Tahoma" w:cs="Tahoma"/>
      <w:sz w:val="16"/>
      <w:szCs w:val="16"/>
      <w:lang w:eastAsia="en-US"/>
    </w:rPr>
  </w:style>
  <w:style w:type="character" w:customStyle="1" w:styleId="infobulle-accessible">
    <w:name w:val="infobulle-accessible"/>
    <w:basedOn w:val="Policepardfaut"/>
  </w:style>
  <w:style w:type="character" w:styleId="Accentuation">
    <w:name w:val="Emphasis"/>
    <w:basedOn w:val="Policepardfaut"/>
    <w:uiPriority w:val="20"/>
    <w:qFormat/>
    <w:rsid w:val="00676C79"/>
    <w:rPr>
      <w:i/>
      <w:iCs/>
    </w:rPr>
  </w:style>
  <w:style w:type="character" w:customStyle="1" w:styleId="Caractresdenotedefin">
    <w:name w:val="Caractères de note de fin"/>
    <w:basedOn w:val="Policepardfaut"/>
    <w:rPr>
      <w:position w:val="0"/>
      <w:vertAlign w:val="superscript"/>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Caractresdenotedebasdepage">
    <w:name w:val="Caractères de note de bas de page"/>
    <w:basedOn w:val="Policepardfaut"/>
    <w:rPr>
      <w:b/>
      <w:color w:val="auto"/>
      <w:position w:val="0"/>
      <w:sz w:val="20"/>
      <w:vertAlign w:val="superscript"/>
    </w:rPr>
  </w:style>
  <w:style w:type="character" w:customStyle="1" w:styleId="FootnoteSymbol">
    <w:name w:val="Footnote Symbol"/>
    <w:rPr>
      <w:b/>
      <w:color w:val="auto"/>
      <w:position w:val="0"/>
      <w:sz w:val="20"/>
      <w:vertAlign w:val="superscript"/>
    </w:rPr>
  </w:style>
  <w:style w:type="character" w:customStyle="1" w:styleId="Footnoteanchor">
    <w:name w:val="Footnote anchor"/>
    <w:rPr>
      <w:b/>
      <w:color w:val="auto"/>
      <w:position w:val="0"/>
      <w:sz w:val="20"/>
      <w:vertAlign w:val="superscript"/>
    </w:rPr>
  </w:style>
  <w:style w:type="character" w:customStyle="1" w:styleId="DateCar">
    <w:name w:val="Date Car"/>
    <w:basedOn w:val="Policepardfaut"/>
    <w:link w:val="Date"/>
    <w:uiPriority w:val="99"/>
    <w:rsid w:val="00676C79"/>
    <w:rPr>
      <w:rFonts w:ascii="Marianne Light" w:eastAsiaTheme="minorHAnsi" w:hAnsi="Marianne Light" w:cstheme="minorBidi"/>
      <w:sz w:val="20"/>
      <w:lang w:eastAsia="en-US"/>
    </w:rPr>
  </w:style>
  <w:style w:type="character" w:customStyle="1" w:styleId="En-tteCar">
    <w:name w:val="En-tête Car"/>
    <w:basedOn w:val="Policepardfaut"/>
    <w:link w:val="En-tte"/>
    <w:uiPriority w:val="99"/>
    <w:rsid w:val="00676C79"/>
    <w:rPr>
      <w:rFonts w:ascii="Marianne Light" w:eastAsiaTheme="minorHAnsi" w:hAnsi="Marianne Light" w:cstheme="minorBidi"/>
      <w:sz w:val="20"/>
      <w:lang w:eastAsia="en-US"/>
    </w:rPr>
  </w:style>
  <w:style w:type="character" w:customStyle="1" w:styleId="lang-grc">
    <w:name w:val="lang-grc"/>
    <w:basedOn w:val="Policepardfaut"/>
    <w:rsid w:val="00676C79"/>
  </w:style>
  <w:style w:type="character" w:customStyle="1" w:styleId="Internetlink">
    <w:name w:val="Internet link"/>
    <w:basedOn w:val="Policepardfaut"/>
    <w:rPr>
      <w:color w:val="0000FF"/>
      <w:u w:val="single"/>
    </w:rPr>
  </w:style>
  <w:style w:type="character" w:customStyle="1" w:styleId="VisitedInternetLink">
    <w:name w:val="Visited Internet Link"/>
    <w:rPr>
      <w:color w:val="800080"/>
      <w:u w:val="single"/>
    </w:rPr>
  </w:style>
  <w:style w:type="character" w:customStyle="1" w:styleId="Mentionnonrsolue1">
    <w:name w:val="Mention non résolue1"/>
    <w:basedOn w:val="Policepardfaut"/>
    <w:uiPriority w:val="99"/>
    <w:unhideWhenUsed/>
    <w:rsid w:val="00676C79"/>
    <w:rPr>
      <w:color w:val="605E5C"/>
      <w:shd w:val="clear" w:color="auto" w:fill="E1DFDD"/>
    </w:rPr>
  </w:style>
  <w:style w:type="character" w:customStyle="1" w:styleId="NotedebasdepageCar">
    <w:name w:val="Note de bas de page Car"/>
    <w:basedOn w:val="Policepardfaut"/>
    <w:link w:val="Notedebasdepage"/>
    <w:uiPriority w:val="4"/>
    <w:rsid w:val="00676C79"/>
    <w:rPr>
      <w:rFonts w:ascii="Marianne Light" w:eastAsiaTheme="minorHAnsi" w:hAnsi="Marianne Light" w:cstheme="minorBidi"/>
      <w:sz w:val="16"/>
      <w:szCs w:val="20"/>
      <w:lang w:eastAsia="en-US"/>
    </w:rPr>
  </w:style>
  <w:style w:type="character" w:customStyle="1" w:styleId="NotedefinCar">
    <w:name w:val="Note de fin Car"/>
    <w:basedOn w:val="Policepardfaut"/>
    <w:link w:val="Notedefin"/>
    <w:uiPriority w:val="99"/>
    <w:semiHidden/>
    <w:rsid w:val="00676C79"/>
    <w:rPr>
      <w:rFonts w:ascii="Marianne Light" w:eastAsiaTheme="minorHAnsi" w:hAnsi="Marianne Light" w:cstheme="minorBidi"/>
      <w:sz w:val="20"/>
      <w:szCs w:val="20"/>
      <w:lang w:eastAsia="en-US"/>
    </w:rPr>
  </w:style>
  <w:style w:type="character" w:customStyle="1" w:styleId="ParagraphedelisteCar">
    <w:name w:val="Paragraphe de liste Car"/>
    <w:link w:val="Paragraphedeliste"/>
    <w:rsid w:val="00676C79"/>
    <w:rPr>
      <w:rFonts w:ascii="Marianne Light" w:eastAsiaTheme="minorHAnsi" w:hAnsi="Marianne Light" w:cstheme="minorBidi"/>
      <w:sz w:val="20"/>
      <w:lang w:eastAsia="en-US"/>
    </w:rPr>
  </w:style>
  <w:style w:type="character" w:customStyle="1" w:styleId="PieddepageCar">
    <w:name w:val="Pied de page Car"/>
    <w:basedOn w:val="Policepardfaut"/>
    <w:link w:val="Pieddepage"/>
    <w:uiPriority w:val="99"/>
    <w:rsid w:val="00676C79"/>
    <w:rPr>
      <w:rFonts w:ascii="Marianne" w:eastAsiaTheme="minorHAnsi" w:hAnsi="Marianne" w:cstheme="minorBidi"/>
      <w:b/>
      <w:bCs/>
      <w:color w:val="FFFFFF" w:themeColor="background1"/>
      <w:sz w:val="18"/>
      <w:szCs w:val="18"/>
      <w:shd w:val="clear" w:color="auto" w:fill="EC8398"/>
      <w:lang w:eastAsia="en-US"/>
    </w:rPr>
  </w:style>
  <w:style w:type="character" w:customStyle="1" w:styleId="Sous-titreCar">
    <w:name w:val="Sous-titre Car"/>
    <w:basedOn w:val="Policepardfaut"/>
    <w:link w:val="Sous-titre"/>
    <w:uiPriority w:val="9"/>
    <w:rsid w:val="00676C79"/>
    <w:rPr>
      <w:rFonts w:ascii="Marianne Light" w:eastAsiaTheme="minorHAnsi" w:hAnsi="Marianne Light" w:cstheme="minorBidi"/>
      <w:sz w:val="26"/>
      <w:szCs w:val="26"/>
      <w:lang w:eastAsia="en-US"/>
    </w:rPr>
  </w:style>
  <w:style w:type="character" w:styleId="Textedelespacerserv">
    <w:name w:val="Placeholder Text"/>
    <w:basedOn w:val="Policepardfaut"/>
    <w:uiPriority w:val="99"/>
    <w:rsid w:val="00676C79"/>
    <w:rPr>
      <w:color w:val="808080"/>
    </w:rPr>
  </w:style>
  <w:style w:type="character" w:customStyle="1" w:styleId="Titre1Car">
    <w:name w:val="Titre 1 Car"/>
    <w:basedOn w:val="Policepardfaut"/>
    <w:link w:val="Titre1"/>
    <w:uiPriority w:val="9"/>
    <w:rsid w:val="00676C79"/>
    <w:rPr>
      <w:rFonts w:ascii="Marianne" w:eastAsiaTheme="minorHAnsi" w:hAnsi="Marianne" w:cstheme="minorBidi"/>
      <w:b/>
      <w:bCs/>
      <w:color w:val="506C89"/>
      <w:sz w:val="28"/>
      <w:szCs w:val="36"/>
      <w:lang w:eastAsia="en-US"/>
    </w:rPr>
  </w:style>
  <w:style w:type="character" w:customStyle="1" w:styleId="Titre2Car">
    <w:name w:val="Titre 2 Car"/>
    <w:basedOn w:val="Policepardfaut"/>
    <w:link w:val="Titre2"/>
    <w:uiPriority w:val="9"/>
    <w:rsid w:val="00676C79"/>
    <w:rPr>
      <w:rFonts w:ascii="Marianne Medium" w:eastAsiaTheme="minorHAnsi" w:hAnsi="Marianne Medium" w:cstheme="minorBidi"/>
      <w:color w:val="EC8398"/>
      <w:sz w:val="26"/>
      <w:szCs w:val="26"/>
      <w:lang w:eastAsia="en-US"/>
    </w:rPr>
  </w:style>
  <w:style w:type="character" w:customStyle="1" w:styleId="Titre3Car">
    <w:name w:val="Titre 3 Car"/>
    <w:basedOn w:val="Policepardfaut"/>
    <w:link w:val="Titre3"/>
    <w:uiPriority w:val="9"/>
    <w:rsid w:val="00676C79"/>
    <w:rPr>
      <w:rFonts w:ascii="Marianne" w:eastAsiaTheme="minorHAnsi" w:hAnsi="Marianne" w:cstheme="minorBidi"/>
      <w:b/>
      <w:lang w:eastAsia="en-US"/>
    </w:rPr>
  </w:style>
  <w:style w:type="character" w:customStyle="1" w:styleId="Titre4Car">
    <w:name w:val="Titre 4 Car"/>
    <w:basedOn w:val="Policepardfaut"/>
    <w:link w:val="Titre4"/>
    <w:uiPriority w:val="9"/>
    <w:rsid w:val="00676C79"/>
    <w:rPr>
      <w:rFonts w:ascii="Marianne Light" w:eastAsiaTheme="minorHAnsi" w:hAnsi="Marianne Light" w:cstheme="minorBidi"/>
      <w:lang w:eastAsia="en-US"/>
    </w:rPr>
  </w:style>
  <w:style w:type="character" w:customStyle="1" w:styleId="Titre5Car">
    <w:name w:val="Titre 5 Car"/>
    <w:aliases w:val="Titre 5 ne pas utiliser Car"/>
    <w:basedOn w:val="Policepardfaut"/>
    <w:link w:val="Titre5"/>
    <w:uiPriority w:val="9"/>
    <w:semiHidden/>
    <w:rsid w:val="00676C79"/>
    <w:rPr>
      <w:rFonts w:asciiTheme="majorHAnsi" w:eastAsiaTheme="majorEastAsia" w:hAnsiTheme="majorHAnsi" w:cstheme="majorBidi"/>
      <w:color w:val="0A2F40" w:themeColor="accent1" w:themeShade="7F"/>
      <w:sz w:val="20"/>
      <w:lang w:eastAsia="en-US"/>
    </w:rPr>
  </w:style>
  <w:style w:type="character" w:customStyle="1" w:styleId="Titre6Car">
    <w:name w:val="Titre 6 Car"/>
    <w:basedOn w:val="Policepardfaut"/>
    <w:link w:val="Titre6"/>
    <w:uiPriority w:val="9"/>
    <w:semiHidden/>
    <w:rsid w:val="00676C79"/>
    <w:rPr>
      <w:rFonts w:ascii="Arial" w:eastAsia="Arial" w:hAnsi="Arial" w:cs="Arial"/>
      <w:b/>
      <w:bCs/>
      <w:sz w:val="20"/>
      <w:lang w:eastAsia="en-US"/>
    </w:rPr>
  </w:style>
  <w:style w:type="character" w:customStyle="1" w:styleId="Titre7Car">
    <w:name w:val="Titre 7 Car"/>
    <w:basedOn w:val="Policepardfaut"/>
    <w:link w:val="Titre7"/>
    <w:uiPriority w:val="9"/>
    <w:rsid w:val="00676C79"/>
    <w:rPr>
      <w:rFonts w:ascii="Arial" w:eastAsia="Arial" w:hAnsi="Arial" w:cs="Arial"/>
      <w:b/>
      <w:bCs/>
      <w:i/>
      <w:iCs/>
      <w:sz w:val="20"/>
      <w:lang w:eastAsia="en-US"/>
    </w:rPr>
  </w:style>
  <w:style w:type="character" w:customStyle="1" w:styleId="Titre8Car">
    <w:name w:val="Titre 8 Car"/>
    <w:basedOn w:val="Policepardfaut"/>
    <w:link w:val="Titre8"/>
    <w:uiPriority w:val="9"/>
    <w:rsid w:val="00676C79"/>
    <w:rPr>
      <w:rFonts w:ascii="Arial" w:eastAsia="Arial" w:hAnsi="Arial" w:cs="Arial"/>
      <w:i/>
      <w:iCs/>
      <w:sz w:val="20"/>
      <w:lang w:eastAsia="en-US"/>
    </w:rPr>
  </w:style>
  <w:style w:type="character" w:customStyle="1" w:styleId="Titre9Car">
    <w:name w:val="Titre 9 Car"/>
    <w:basedOn w:val="Policepardfaut"/>
    <w:link w:val="Titre9"/>
    <w:uiPriority w:val="9"/>
    <w:rsid w:val="00676C79"/>
    <w:rPr>
      <w:rFonts w:ascii="Arial" w:eastAsia="Arial" w:hAnsi="Arial" w:cs="Arial"/>
      <w:i/>
      <w:iCs/>
      <w:sz w:val="21"/>
      <w:szCs w:val="21"/>
      <w:lang w:eastAsia="en-US"/>
    </w:rPr>
  </w:style>
  <w:style w:type="character" w:customStyle="1" w:styleId="TitreCar">
    <w:name w:val="Titre Car"/>
    <w:aliases w:val="Titre fiche Car"/>
    <w:basedOn w:val="Policepardfaut"/>
    <w:link w:val="Titre"/>
    <w:uiPriority w:val="7"/>
    <w:rsid w:val="00676C79"/>
    <w:rPr>
      <w:rFonts w:ascii="Marianne" w:eastAsiaTheme="minorHAnsi" w:hAnsi="Marianne" w:cstheme="minorBidi"/>
      <w:b/>
      <w:bCs/>
      <w:sz w:val="32"/>
      <w:szCs w:val="32"/>
      <w:lang w:eastAsia="en-US"/>
    </w:rPr>
  </w:style>
  <w:style w:type="character" w:styleId="Mentionnonrsolue">
    <w:name w:val="Unresolved Mention"/>
    <w:basedOn w:val="Policepardfaut"/>
    <w:rPr>
      <w:color w:val="605E5C"/>
      <w:shd w:val="clear" w:color="auto" w:fill="E1DFDD"/>
    </w:rPr>
  </w:style>
  <w:style w:type="character" w:customStyle="1" w:styleId="Linenumbering">
    <w:name w:val="Line numbering"/>
  </w:style>
  <w:style w:type="character" w:customStyle="1" w:styleId="ListLabel1">
    <w:name w:val="ListLabel 1"/>
    <w:rPr>
      <w:rFonts w:cs="Marianne"/>
      <w:b w:val="0"/>
      <w:bCs w:val="0"/>
      <w:i w:val="0"/>
      <w:iCs w:val="0"/>
      <w:color w:val="F29C52"/>
      <w:w w:val="100"/>
      <w:sz w:val="22"/>
      <w:szCs w:val="22"/>
      <w:lang w:val="fr-FR" w:eastAsia="en-US" w:bidi="ar-SA"/>
    </w:rPr>
  </w:style>
  <w:style w:type="character" w:customStyle="1" w:styleId="ListLabel2">
    <w:name w:val="ListLabel 2"/>
    <w:rPr>
      <w:rFonts w:ascii="Calibri" w:eastAsia="Calibri" w:hAnsi="Calibri" w:cs="Symbol"/>
      <w:lang w:val="fr-FR" w:eastAsia="en-US" w:bidi="ar-SA"/>
    </w:rPr>
  </w:style>
  <w:style w:type="character" w:customStyle="1" w:styleId="ListLabel3">
    <w:name w:val="ListLabel 3"/>
    <w:rPr>
      <w:rFonts w:ascii="Calibri" w:eastAsia="Calibri" w:hAnsi="Calibri" w:cs="Symbol"/>
      <w:lang w:val="fr-FR" w:eastAsia="en-US" w:bidi="ar-SA"/>
    </w:rPr>
  </w:style>
  <w:style w:type="character" w:customStyle="1" w:styleId="ListLabel4">
    <w:name w:val="ListLabel 4"/>
    <w:rPr>
      <w:rFonts w:ascii="Calibri" w:eastAsia="Calibri" w:hAnsi="Calibri" w:cs="Symbol"/>
      <w:lang w:val="fr-FR" w:eastAsia="en-US" w:bidi="ar-SA"/>
    </w:rPr>
  </w:style>
  <w:style w:type="character" w:customStyle="1" w:styleId="ListLabel5">
    <w:name w:val="ListLabel 5"/>
    <w:rPr>
      <w:rFonts w:ascii="Calibri" w:eastAsia="Calibri" w:hAnsi="Calibri" w:cs="Symbol"/>
      <w:lang w:val="fr-FR" w:eastAsia="en-US" w:bidi="ar-SA"/>
    </w:rPr>
  </w:style>
  <w:style w:type="character" w:customStyle="1" w:styleId="ListLabel6">
    <w:name w:val="ListLabel 6"/>
    <w:rPr>
      <w:rFonts w:ascii="Calibri" w:eastAsia="Calibri" w:hAnsi="Calibri" w:cs="Symbol"/>
      <w:lang w:val="fr-FR" w:eastAsia="en-US" w:bidi="ar-SA"/>
    </w:rPr>
  </w:style>
  <w:style w:type="character" w:customStyle="1" w:styleId="ListLabel7">
    <w:name w:val="ListLabel 7"/>
    <w:rPr>
      <w:rFonts w:ascii="Calibri" w:eastAsia="Calibri" w:hAnsi="Calibri" w:cs="Symbol"/>
      <w:lang w:val="fr-FR" w:eastAsia="en-US" w:bidi="ar-SA"/>
    </w:rPr>
  </w:style>
  <w:style w:type="character" w:customStyle="1" w:styleId="ListLabel8">
    <w:name w:val="ListLabel 8"/>
    <w:rPr>
      <w:rFonts w:ascii="Calibri" w:eastAsia="Calibri" w:hAnsi="Calibri" w:cs="Symbol"/>
      <w:lang w:val="fr-FR" w:eastAsia="en-US" w:bidi="ar-SA"/>
    </w:rPr>
  </w:style>
  <w:style w:type="character" w:customStyle="1" w:styleId="ListLabel9">
    <w:name w:val="ListLabel 9"/>
    <w:rPr>
      <w:rFonts w:ascii="Calibri" w:eastAsia="Calibri" w:hAnsi="Calibri" w:cs="Symbol"/>
      <w:lang w:val="fr-FR" w:eastAsia="en-US" w:bidi="ar-SA"/>
    </w:rPr>
  </w:style>
  <w:style w:type="character" w:customStyle="1" w:styleId="ListLabel10">
    <w:name w:val="ListLabel 10"/>
    <w:rPr>
      <w:rFonts w:ascii="Calibri" w:eastAsia="Calibri" w:hAnsi="Calibri" w:cs="Symbol"/>
      <w:lang w:val="fr-FR" w:eastAsia="en-US" w:bidi="ar-SA"/>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ascii="Calibri" w:eastAsia="Calibri" w:hAnsi="Calibri"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ascii="Calibri" w:eastAsia="Calibri" w:hAnsi="Calibri"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Marianne"/>
      <w:b w:val="0"/>
      <w:bCs w:val="0"/>
      <w:i w:val="0"/>
      <w:iCs w:val="0"/>
      <w:color w:val="F29C52"/>
      <w:w w:val="100"/>
      <w:sz w:val="22"/>
      <w:szCs w:val="22"/>
      <w:lang w:val="fr-FR" w:eastAsia="en-US" w:bidi="ar-SA"/>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ascii="Calibri" w:eastAsia="Calibri" w:hAnsi="Calibri"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ascii="Calibri" w:eastAsia="Calibri" w:hAnsi="Calibri"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eastAsia="Cambria" w:cs="Calibri"/>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ascii="Calibri" w:eastAsia="Calibri" w:hAnsi="Calibri"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ascii="Calibri" w:eastAsia="Calibri" w:hAnsi="Calibri"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rFonts w:ascii="Calibri" w:eastAsia="Calibri" w:hAnsi="Calibri" w:cs="Sylfaen"/>
    </w:rPr>
  </w:style>
  <w:style w:type="character" w:customStyle="1" w:styleId="ListLabel110">
    <w:name w:val="ListLabel 110"/>
    <w:rPr>
      <w:rFonts w:cs="Courier New"/>
    </w:rPr>
  </w:style>
  <w:style w:type="character" w:customStyle="1" w:styleId="ListLabel111">
    <w:name w:val="ListLabel 111"/>
    <w:rPr>
      <w:rFonts w:cs="Wingdings"/>
    </w:rPr>
  </w:style>
  <w:style w:type="character" w:customStyle="1" w:styleId="ListLabel112">
    <w:name w:val="ListLabel 112"/>
    <w:rPr>
      <w:rFonts w:ascii="Calibri" w:eastAsia="Calibri" w:hAnsi="Calibri" w:cs="Symbol"/>
    </w:rPr>
  </w:style>
  <w:style w:type="character" w:customStyle="1" w:styleId="ListLabel113">
    <w:name w:val="ListLabel 113"/>
    <w:rPr>
      <w:rFonts w:cs="Courier New"/>
    </w:rPr>
  </w:style>
  <w:style w:type="character" w:customStyle="1" w:styleId="ListLabel114">
    <w:name w:val="ListLabel 114"/>
    <w:rPr>
      <w:rFonts w:cs="Wingdings"/>
    </w:rPr>
  </w:style>
  <w:style w:type="character" w:customStyle="1" w:styleId="ListLabel115">
    <w:name w:val="ListLabel 115"/>
    <w:rPr>
      <w:rFonts w:ascii="Calibri" w:eastAsia="Calibri" w:hAnsi="Calibri" w:cs="Symbol"/>
    </w:rPr>
  </w:style>
  <w:style w:type="character" w:customStyle="1" w:styleId="ListLabel116">
    <w:name w:val="ListLabel 116"/>
    <w:rPr>
      <w:rFonts w:cs="Courier New"/>
    </w:rPr>
  </w:style>
  <w:style w:type="character" w:customStyle="1" w:styleId="ListLabel117">
    <w:name w:val="ListLabel 117"/>
    <w:rPr>
      <w:rFonts w:cs="Wingdings"/>
    </w:rPr>
  </w:style>
  <w:style w:type="character" w:customStyle="1" w:styleId="ListLabel118">
    <w:name w:val="ListLabel 118"/>
    <w:rPr>
      <w:rFonts w:eastAsia="Cambria" w:cs="Calibri"/>
    </w:rPr>
  </w:style>
  <w:style w:type="character" w:customStyle="1" w:styleId="ListLabel119">
    <w:name w:val="ListLabel 119"/>
    <w:rPr>
      <w:rFonts w:cs="Courier New"/>
    </w:rPr>
  </w:style>
  <w:style w:type="character" w:customStyle="1" w:styleId="ListLabel120">
    <w:name w:val="ListLabel 120"/>
    <w:rPr>
      <w:rFonts w:cs="Wingdings"/>
    </w:rPr>
  </w:style>
  <w:style w:type="character" w:customStyle="1" w:styleId="ListLabel121">
    <w:name w:val="ListLabel 121"/>
    <w:rPr>
      <w:rFonts w:ascii="Calibri" w:eastAsia="Calibri" w:hAnsi="Calibri" w:cs="Symbol"/>
    </w:rPr>
  </w:style>
  <w:style w:type="character" w:customStyle="1" w:styleId="ListLabel122">
    <w:name w:val="ListLabel 122"/>
    <w:rPr>
      <w:rFonts w:cs="Courier New"/>
    </w:rPr>
  </w:style>
  <w:style w:type="character" w:customStyle="1" w:styleId="ListLabel123">
    <w:name w:val="ListLabel 123"/>
    <w:rPr>
      <w:rFonts w:cs="Wingdings"/>
    </w:rPr>
  </w:style>
  <w:style w:type="character" w:customStyle="1" w:styleId="ListLabel124">
    <w:name w:val="ListLabel 124"/>
    <w:rPr>
      <w:rFonts w:ascii="Calibri" w:eastAsia="Calibri" w:hAnsi="Calibri" w:cs="Symbol"/>
    </w:rPr>
  </w:style>
  <w:style w:type="character" w:customStyle="1" w:styleId="ListLabel125">
    <w:name w:val="ListLabel 125"/>
    <w:rPr>
      <w:rFonts w:cs="Courier New"/>
    </w:rPr>
  </w:style>
  <w:style w:type="character" w:customStyle="1" w:styleId="ListLabel126">
    <w:name w:val="ListLabel 126"/>
    <w:rPr>
      <w:rFonts w:cs="Wingdings"/>
    </w:rPr>
  </w:style>
  <w:style w:type="character" w:customStyle="1" w:styleId="ListLabel127">
    <w:name w:val="ListLabel 127"/>
    <w:rPr>
      <w:rFonts w:eastAsia="Cambria" w:cs="Calibri"/>
    </w:rPr>
  </w:style>
  <w:style w:type="character" w:customStyle="1" w:styleId="ListLabel128">
    <w:name w:val="ListLabel 128"/>
    <w:rPr>
      <w:rFonts w:cs="Courier New"/>
    </w:rPr>
  </w:style>
  <w:style w:type="character" w:customStyle="1" w:styleId="ListLabel129">
    <w:name w:val="ListLabel 129"/>
    <w:rPr>
      <w:rFonts w:cs="Wingdings"/>
    </w:rPr>
  </w:style>
  <w:style w:type="character" w:customStyle="1" w:styleId="ListLabel130">
    <w:name w:val="ListLabel 130"/>
    <w:rPr>
      <w:rFonts w:ascii="Calibri" w:eastAsia="Calibri" w:hAnsi="Calibri" w:cs="Symbol"/>
    </w:rPr>
  </w:style>
  <w:style w:type="character" w:customStyle="1" w:styleId="ListLabel131">
    <w:name w:val="ListLabel 131"/>
    <w:rPr>
      <w:rFonts w:cs="Courier New"/>
    </w:rPr>
  </w:style>
  <w:style w:type="character" w:customStyle="1" w:styleId="ListLabel132">
    <w:name w:val="ListLabel 132"/>
    <w:rPr>
      <w:rFonts w:cs="Wingdings"/>
    </w:rPr>
  </w:style>
  <w:style w:type="character" w:customStyle="1" w:styleId="ListLabel133">
    <w:name w:val="ListLabel 133"/>
    <w:rPr>
      <w:rFonts w:ascii="Calibri" w:eastAsia="Calibri" w:hAnsi="Calibri"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style>
  <w:style w:type="character" w:customStyle="1" w:styleId="ListLabel137">
    <w:name w:val="ListLabel 137"/>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bCs/>
      <w:i/>
      <w:iCs/>
    </w:rPr>
  </w:style>
  <w:style w:type="character" w:customStyle="1" w:styleId="ListLabel155">
    <w:name w:val="ListLabel 155"/>
    <w:rPr>
      <w:b/>
      <w:bCs/>
      <w:i/>
      <w:iCs/>
      <w:color w:val="0000FF"/>
      <w:u w:val="single"/>
    </w:rPr>
  </w:style>
  <w:style w:type="numbering" w:customStyle="1" w:styleId="Aucuneliste1">
    <w:name w:val="Aucune liste1"/>
    <w:basedOn w:val="Aucuneliste"/>
    <w:pPr>
      <w:numPr>
        <w:numId w:val="1"/>
      </w:numPr>
    </w:pPr>
  </w:style>
  <w:style w:type="numbering" w:customStyle="1" w:styleId="Pasdeliste">
    <w:name w:val="Pas de liste"/>
    <w:basedOn w:val="Aucuneliste"/>
    <w:pPr>
      <w:numPr>
        <w:numId w:val="2"/>
      </w:numPr>
    </w:pPr>
  </w:style>
  <w:style w:type="numbering" w:customStyle="1" w:styleId="WWNum1">
    <w:name w:val="WWNum1"/>
    <w:basedOn w:val="Aucuneliste"/>
    <w:pPr>
      <w:numPr>
        <w:numId w:val="3"/>
      </w:numPr>
    </w:pPr>
  </w:style>
  <w:style w:type="numbering" w:customStyle="1" w:styleId="WWNum2">
    <w:name w:val="WWNum2"/>
    <w:basedOn w:val="Aucuneliste"/>
    <w:pPr>
      <w:numPr>
        <w:numId w:val="4"/>
      </w:numPr>
    </w:pPr>
  </w:style>
  <w:style w:type="numbering" w:customStyle="1" w:styleId="WWNum3">
    <w:name w:val="WWNum3"/>
    <w:basedOn w:val="Aucuneliste"/>
    <w:pPr>
      <w:numPr>
        <w:numId w:val="5"/>
      </w:numPr>
    </w:pPr>
  </w:style>
  <w:style w:type="numbering" w:customStyle="1" w:styleId="WWNum4">
    <w:name w:val="WWNum4"/>
    <w:basedOn w:val="Aucuneliste"/>
    <w:pPr>
      <w:numPr>
        <w:numId w:val="6"/>
      </w:numPr>
    </w:pPr>
  </w:style>
  <w:style w:type="numbering" w:customStyle="1" w:styleId="WWNum5">
    <w:name w:val="WWNum5"/>
    <w:basedOn w:val="Aucuneliste"/>
    <w:pPr>
      <w:numPr>
        <w:numId w:val="7"/>
      </w:numPr>
    </w:pPr>
  </w:style>
  <w:style w:type="numbering" w:customStyle="1" w:styleId="WWNum6">
    <w:name w:val="WWNum6"/>
    <w:basedOn w:val="Aucuneliste"/>
    <w:pPr>
      <w:numPr>
        <w:numId w:val="8"/>
      </w:numPr>
    </w:pPr>
  </w:style>
  <w:style w:type="numbering" w:customStyle="1" w:styleId="WWNum7">
    <w:name w:val="WWNum7"/>
    <w:basedOn w:val="Aucuneliste"/>
    <w:pPr>
      <w:numPr>
        <w:numId w:val="9"/>
      </w:numPr>
    </w:pPr>
  </w:style>
  <w:style w:type="numbering" w:customStyle="1" w:styleId="WWNum8">
    <w:name w:val="WWNum8"/>
    <w:basedOn w:val="Aucuneliste"/>
    <w:pPr>
      <w:numPr>
        <w:numId w:val="10"/>
      </w:numPr>
    </w:pPr>
  </w:style>
  <w:style w:type="numbering" w:customStyle="1" w:styleId="WWNum9">
    <w:name w:val="WWNum9"/>
    <w:basedOn w:val="Aucuneliste"/>
    <w:pPr>
      <w:numPr>
        <w:numId w:val="11"/>
      </w:numPr>
    </w:pPr>
  </w:style>
  <w:style w:type="numbering" w:customStyle="1" w:styleId="WWNum10">
    <w:name w:val="WWNum10"/>
    <w:basedOn w:val="Aucuneliste"/>
    <w:pPr>
      <w:numPr>
        <w:numId w:val="12"/>
      </w:numPr>
    </w:pPr>
  </w:style>
  <w:style w:type="numbering" w:customStyle="1" w:styleId="WWNum11">
    <w:name w:val="WWNum11"/>
    <w:basedOn w:val="Aucuneliste"/>
    <w:pPr>
      <w:numPr>
        <w:numId w:val="13"/>
      </w:numPr>
    </w:pPr>
  </w:style>
  <w:style w:type="numbering" w:customStyle="1" w:styleId="WWNum12">
    <w:name w:val="WWNum12"/>
    <w:basedOn w:val="Aucuneliste"/>
    <w:pPr>
      <w:numPr>
        <w:numId w:val="14"/>
      </w:numPr>
    </w:pPr>
  </w:style>
  <w:style w:type="numbering" w:customStyle="1" w:styleId="WWNum13">
    <w:name w:val="WWNum13"/>
    <w:basedOn w:val="Aucuneliste"/>
    <w:pPr>
      <w:numPr>
        <w:numId w:val="15"/>
      </w:numPr>
    </w:pPr>
  </w:style>
  <w:style w:type="numbering" w:customStyle="1" w:styleId="WWNum14">
    <w:name w:val="WWNum14"/>
    <w:basedOn w:val="Aucuneliste"/>
    <w:pPr>
      <w:numPr>
        <w:numId w:val="16"/>
      </w:numPr>
    </w:pPr>
  </w:style>
  <w:style w:type="numbering" w:customStyle="1" w:styleId="WWNum15">
    <w:name w:val="WWNum15"/>
    <w:basedOn w:val="Aucuneliste"/>
    <w:pPr>
      <w:numPr>
        <w:numId w:val="17"/>
      </w:numPr>
    </w:pPr>
  </w:style>
  <w:style w:type="numbering" w:customStyle="1" w:styleId="WWNum16">
    <w:name w:val="WWNum16"/>
    <w:basedOn w:val="Aucuneliste"/>
    <w:pPr>
      <w:numPr>
        <w:numId w:val="18"/>
      </w:numPr>
    </w:pPr>
  </w:style>
  <w:style w:type="numbering" w:customStyle="1" w:styleId="WWNum17">
    <w:name w:val="WWNum17"/>
    <w:basedOn w:val="Aucuneliste"/>
    <w:pPr>
      <w:numPr>
        <w:numId w:val="19"/>
      </w:numPr>
    </w:pPr>
  </w:style>
  <w:style w:type="table" w:customStyle="1" w:styleId="TableNormal">
    <w:name w:val="TableNormal"/>
    <w:rsid w:val="00676C79"/>
    <w:pPr>
      <w:widowControl/>
      <w:autoSpaceDN/>
      <w:spacing w:line="276" w:lineRule="auto"/>
      <w:textAlignment w:val="auto"/>
    </w:pPr>
    <w:rPr>
      <w:rFonts w:ascii="Arial" w:eastAsia="Arial" w:hAnsi="Arial" w:cs="Arial"/>
      <w:lang w:val="fr"/>
    </w:rPr>
    <w:tblPr>
      <w:tblCellMar>
        <w:top w:w="100" w:type="dxa"/>
        <w:left w:w="100" w:type="dxa"/>
        <w:bottom w:w="100" w:type="dxa"/>
        <w:right w:w="100" w:type="dxa"/>
      </w:tblCellMar>
    </w:tblPr>
  </w:style>
  <w:style w:type="character" w:styleId="Appeldenotedefin">
    <w:name w:val="endnote reference"/>
    <w:basedOn w:val="Policepardfaut"/>
    <w:uiPriority w:val="99"/>
    <w:semiHidden/>
    <w:unhideWhenUsed/>
    <w:rsid w:val="00676C79"/>
    <w:rPr>
      <w:vertAlign w:val="superscript"/>
    </w:rPr>
  </w:style>
  <w:style w:type="character" w:styleId="Appelnotedebasdep">
    <w:name w:val="footnote reference"/>
    <w:basedOn w:val="Policepardfaut"/>
    <w:uiPriority w:val="4"/>
    <w:rsid w:val="00676C79"/>
    <w:rPr>
      <w:b/>
      <w:color w:val="auto"/>
      <w:sz w:val="20"/>
      <w:vertAlign w:val="superscript"/>
    </w:rPr>
  </w:style>
  <w:style w:type="paragraph" w:customStyle="1" w:styleId="Contenudetableau">
    <w:name w:val="Contenu de tableau"/>
    <w:basedOn w:val="TableParagraph"/>
    <w:uiPriority w:val="2"/>
    <w:rsid w:val="00676C79"/>
    <w:pPr>
      <w:spacing w:before="40" w:after="40"/>
      <w:ind w:left="57" w:right="57"/>
    </w:pPr>
    <w:rPr>
      <w:color w:val="231F20"/>
      <w:sz w:val="18"/>
    </w:rPr>
  </w:style>
  <w:style w:type="paragraph" w:styleId="En-ttedetabledesmatires">
    <w:name w:val="TOC Heading"/>
    <w:aliases w:val="En-tête Sommaire"/>
    <w:basedOn w:val="Normal"/>
    <w:next w:val="Normal"/>
    <w:uiPriority w:val="39"/>
    <w:unhideWhenUsed/>
    <w:qFormat/>
    <w:rsid w:val="00676C79"/>
    <w:pPr>
      <w:ind w:left="426"/>
    </w:pPr>
    <w:rPr>
      <w:rFonts w:ascii="Marianne ExtraBold" w:hAnsi="Marianne ExtraBold"/>
      <w:b/>
      <w:bCs/>
      <w:color w:val="215479"/>
      <w:sz w:val="30"/>
      <w:szCs w:val="30"/>
    </w:rPr>
  </w:style>
  <w:style w:type="table" w:styleId="Grilledetableauclaire">
    <w:name w:val="Grid Table Light"/>
    <w:basedOn w:val="TableauNormal"/>
    <w:uiPriority w:val="40"/>
    <w:rsid w:val="00676C79"/>
    <w:pPr>
      <w:widowControl/>
      <w:autoSpaceDN/>
      <w:textAlignment w:val="auto"/>
    </w:pPr>
    <w:rPr>
      <w:rFonts w:asciiTheme="minorHAnsi" w:eastAsiaTheme="minorEastAsia" w:hAnsiTheme="minorHAnsi" w:cstheme="minorBid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lledutableau">
    <w:name w:val="Table Grid"/>
    <w:basedOn w:val="TableauNormal"/>
    <w:uiPriority w:val="59"/>
    <w:rsid w:val="00676C79"/>
    <w:pPr>
      <w:widowControl/>
      <w:autoSpaceDN/>
      <w:textAlignment w:val="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676C79"/>
    <w:rPr>
      <w:color w:val="467886" w:themeColor="hyperlink"/>
      <w:u w:val="single"/>
    </w:rPr>
  </w:style>
  <w:style w:type="character" w:styleId="Lienhypertextesuivivisit">
    <w:name w:val="FollowedHyperlink"/>
    <w:semiHidden/>
    <w:rsid w:val="00676C79"/>
    <w:rPr>
      <w:color w:val="800080"/>
      <w:u w:val="single"/>
    </w:rPr>
  </w:style>
  <w:style w:type="table" w:styleId="Listeclaire-Accent4">
    <w:name w:val="Light List Accent 4"/>
    <w:basedOn w:val="TableauNormal"/>
    <w:uiPriority w:val="61"/>
    <w:rsid w:val="00676C79"/>
    <w:pPr>
      <w:widowControl/>
      <w:autoSpaceDN/>
      <w:textAlignment w:val="auto"/>
    </w:pPr>
    <w:rPr>
      <w:rFonts w:asciiTheme="minorHAnsi" w:eastAsiaTheme="minorHAnsi" w:hAnsiTheme="minorHAnsi" w:cstheme="minorBidi"/>
      <w:lang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paragraph" w:styleId="Notedebasdepage">
    <w:name w:val="footnote text"/>
    <w:basedOn w:val="Normal"/>
    <w:link w:val="NotedebasdepageCar"/>
    <w:uiPriority w:val="4"/>
    <w:rsid w:val="00676C79"/>
    <w:pPr>
      <w:spacing w:after="120" w:line="240" w:lineRule="auto"/>
      <w:ind w:left="113" w:hanging="113"/>
      <w:contextualSpacing/>
    </w:pPr>
    <w:rPr>
      <w:sz w:val="16"/>
      <w:szCs w:val="20"/>
    </w:rPr>
  </w:style>
  <w:style w:type="character" w:customStyle="1" w:styleId="NotedebasdepageCar1">
    <w:name w:val="Note de bas de page Car1"/>
    <w:basedOn w:val="Policepardfaut"/>
    <w:uiPriority w:val="99"/>
    <w:semiHidden/>
    <w:rsid w:val="00676C79"/>
    <w:rPr>
      <w:rFonts w:ascii="Marianne Light" w:eastAsiaTheme="minorHAnsi" w:hAnsi="Marianne Light" w:cstheme="minorBidi"/>
      <w:sz w:val="20"/>
      <w:szCs w:val="20"/>
      <w:lang w:eastAsia="en-US"/>
    </w:rPr>
  </w:style>
  <w:style w:type="paragraph" w:styleId="Notedefin">
    <w:name w:val="endnote text"/>
    <w:basedOn w:val="Normal"/>
    <w:link w:val="NotedefinCar"/>
    <w:uiPriority w:val="99"/>
    <w:semiHidden/>
    <w:unhideWhenUsed/>
    <w:rsid w:val="00676C79"/>
    <w:pPr>
      <w:spacing w:after="0" w:line="240" w:lineRule="auto"/>
    </w:pPr>
    <w:rPr>
      <w:szCs w:val="20"/>
    </w:rPr>
  </w:style>
  <w:style w:type="character" w:customStyle="1" w:styleId="NotedefinCar1">
    <w:name w:val="Note de fin Car1"/>
    <w:basedOn w:val="Policepardfaut"/>
    <w:uiPriority w:val="99"/>
    <w:semiHidden/>
    <w:rsid w:val="00676C79"/>
    <w:rPr>
      <w:rFonts w:ascii="Marianne Light" w:eastAsiaTheme="minorHAnsi" w:hAnsi="Marianne Light" w:cstheme="minorBidi"/>
      <w:sz w:val="20"/>
      <w:szCs w:val="20"/>
      <w:lang w:eastAsia="en-US"/>
    </w:rPr>
  </w:style>
  <w:style w:type="table" w:styleId="Ombrageclair">
    <w:name w:val="Light Shading"/>
    <w:basedOn w:val="TableauNormal"/>
    <w:uiPriority w:val="60"/>
    <w:rsid w:val="00676C79"/>
    <w:pPr>
      <w:widowControl/>
      <w:autoSpaceDN/>
      <w:textAlignment w:val="auto"/>
    </w:pPr>
    <w:rPr>
      <w:rFonts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Normal0">
    <w:name w:val="Table Normal"/>
    <w:uiPriority w:val="2"/>
    <w:semiHidden/>
    <w:unhideWhenUsed/>
    <w:qFormat/>
    <w:rsid w:val="00676C79"/>
    <w:pPr>
      <w:autoSpaceDE w:val="0"/>
      <w:textAlignment w:val="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eaucrois">
    <w:name w:val="Tableau croisé"/>
    <w:basedOn w:val="TableauNormal"/>
    <w:uiPriority w:val="99"/>
    <w:rsid w:val="00676C79"/>
    <w:pPr>
      <w:widowControl/>
      <w:autoSpaceDN/>
      <w:spacing w:before="120" w:after="120"/>
      <w:textAlignment w:val="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00" w:beforeAutospacing="1" w:afterLines="0" w:after="100" w:afterAutospacing="1"/>
      </w:pPr>
      <w:rPr>
        <w:rFonts w:ascii="Calibri" w:hAnsi="Calibri"/>
        <w:b w:val="0"/>
        <w:sz w:val="22"/>
      </w:rPr>
      <w:tblPr/>
      <w:trPr>
        <w:tblHeader/>
      </w:trPr>
      <w:tcPr>
        <w:shd w:val="clear" w:color="auto" w:fill="E5DFEC"/>
      </w:tcPr>
    </w:tblStylePr>
    <w:tblStylePr w:type="firstCol">
      <w:rPr>
        <w:rFonts w:ascii="Calibri" w:hAnsi="Calibri"/>
        <w:b w:val="0"/>
        <w:sz w:val="22"/>
      </w:rPr>
      <w:tblPr/>
      <w:tcPr>
        <w:shd w:val="clear" w:color="auto" w:fill="E5DFEC"/>
      </w:tcPr>
    </w:tblStylePr>
    <w:tblStylePr w:type="nwCell">
      <w:tblPr/>
      <w:tcPr>
        <w:shd w:val="clear" w:color="auto" w:fill="E5DFEC"/>
      </w:tcPr>
    </w:tblStylePr>
  </w:style>
  <w:style w:type="table" w:customStyle="1" w:styleId="TableauEn-tte">
    <w:name w:val="Tableau En-tête"/>
    <w:basedOn w:val="TableauNormal"/>
    <w:uiPriority w:val="99"/>
    <w:rsid w:val="00676C79"/>
    <w:pPr>
      <w:widowControl/>
      <w:autoSpaceDN/>
      <w:spacing w:before="100" w:beforeAutospacing="1" w:after="100" w:afterAutospacing="1"/>
      <w:textAlignment w:val="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val="0"/>
      </w:rPr>
      <w:tblPr/>
      <w:tcPr>
        <w:shd w:val="clear" w:color="auto" w:fill="E5DFEC"/>
      </w:tcPr>
    </w:tblStylePr>
  </w:style>
  <w:style w:type="table" w:customStyle="1" w:styleId="Tableauentte1L">
    <w:name w:val="Tableau entête 1L"/>
    <w:basedOn w:val="TableauNormal"/>
    <w:uiPriority w:val="99"/>
    <w:rsid w:val="00676C79"/>
    <w:pPr>
      <w:widowControl/>
      <w:autoSpaceDN/>
      <w:spacing w:before="40"/>
      <w:ind w:left="113" w:right="113"/>
      <w:textAlignment w:val="auto"/>
    </w:pPr>
    <w:rPr>
      <w:rFonts w:ascii="Arial" w:eastAsiaTheme="minorHAnsi" w:hAnsi="Arial" w:cstheme="minorBidi"/>
      <w:sz w:val="17"/>
      <w:lang w:eastAsia="en-US"/>
    </w:rPr>
    <w:tblPr>
      <w:tblStyleRowBandSize w:val="1"/>
      <w:tblBorders>
        <w:top w:val="single" w:sz="4" w:space="0" w:color="E78A49"/>
        <w:left w:val="single" w:sz="4" w:space="0" w:color="E78A49"/>
        <w:bottom w:val="single" w:sz="4" w:space="0" w:color="E78A49"/>
        <w:right w:val="single" w:sz="4" w:space="0" w:color="E78A49"/>
        <w:insideH w:val="single" w:sz="4" w:space="0" w:color="E78A49"/>
        <w:insideV w:val="single" w:sz="4" w:space="0" w:color="E78A49"/>
      </w:tblBorders>
    </w:tblPr>
    <w:tcPr>
      <w:shd w:val="clear" w:color="auto" w:fill="auto"/>
    </w:tcPr>
    <w:tblStylePr w:type="firstRow">
      <w:rPr>
        <w:rFonts w:ascii="Arial" w:hAnsi="Arial"/>
        <w:b/>
        <w:caps/>
        <w:smallCaps w:val="0"/>
        <w:strike w:val="0"/>
        <w:dstrike w:val="0"/>
        <w:vanish w:val="0"/>
        <w:color w:val="auto"/>
        <w:sz w:val="18"/>
        <w:vertAlign w:val="baseli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8D2D0"/>
      </w:tcPr>
    </w:tblStylePr>
    <w:tblStylePr w:type="lastRow">
      <w:tblPr/>
      <w:tcPr>
        <w:tcBorders>
          <w:top w:val="nil"/>
          <w:left w:val="nil"/>
          <w:bottom w:val="nil"/>
          <w:right w:val="nil"/>
          <w:insideH w:val="nil"/>
          <w:insideV w:val="nil"/>
        </w:tcBorders>
      </w:tcPr>
    </w:tblStylePr>
    <w:tblStylePr w:type="firstCol">
      <w:rPr>
        <w:b w:val="0"/>
        <w:i w:val="0"/>
        <w:color w:val="auto"/>
      </w:rPr>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auto"/>
      </w:tcPr>
    </w:tblStylePr>
    <w:tblStylePr w:type="band1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FFFFFF" w:themeFill="background1"/>
      </w:tcPr>
    </w:tblStylePr>
    <w:tblStylePr w:type="band2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l2br w:val="nil"/>
          <w:tr2bl w:val="nil"/>
        </w:tcBorders>
        <w:shd w:val="clear" w:color="auto" w:fill="auto"/>
      </w:tcPr>
    </w:tblStylePr>
  </w:style>
  <w:style w:type="table" w:customStyle="1" w:styleId="TableauRA">
    <w:name w:val="Tableau RA"/>
    <w:basedOn w:val="TableauNormal"/>
    <w:uiPriority w:val="99"/>
    <w:rsid w:val="00676C79"/>
    <w:pPr>
      <w:widowControl/>
      <w:autoSpaceDN/>
      <w:textAlignment w:val="auto"/>
    </w:pPr>
    <w:rPr>
      <w:rFonts w:ascii="Marianne Light" w:eastAsiaTheme="minorEastAsia" w:hAnsi="Marianne Light" w:cstheme="minorBidi"/>
      <w:sz w:val="18"/>
      <w:lang w:eastAsia="zh-CN"/>
    </w:rPr>
    <w:tblPr>
      <w:tblBorders>
        <w:insideH w:val="single" w:sz="4" w:space="0" w:color="215479"/>
        <w:insideV w:val="single" w:sz="4" w:space="0" w:color="215479"/>
      </w:tblBorders>
    </w:tblPr>
    <w:tcPr>
      <w:shd w:val="clear" w:color="auto" w:fill="auto"/>
    </w:tcPr>
    <w:tblStylePr w:type="firstRow">
      <w:pPr>
        <w:wordWrap/>
        <w:snapToGrid w:val="0"/>
        <w:spacing w:beforeLines="0" w:before="40" w:beforeAutospacing="0" w:afterLines="0" w:after="40" w:afterAutospacing="0" w:line="240" w:lineRule="auto"/>
        <w:ind w:leftChars="0" w:left="57" w:rightChars="0" w:right="57"/>
        <w:contextualSpacing/>
        <w:jc w:val="left"/>
        <w:outlineLvl w:val="4"/>
      </w:pPr>
      <w:rPr>
        <w:rFonts w:ascii="Marianne" w:hAnsi="Marianne"/>
        <w:b/>
        <w:i w:val="0"/>
        <w:color w:val="FFFFFF" w:themeColor="background1"/>
        <w:sz w:val="20"/>
      </w:rPr>
      <w:tblPr/>
      <w:tcPr>
        <w:shd w:val="clear" w:color="auto" w:fill="597F9B"/>
      </w:tcPr>
    </w:tblStylePr>
  </w:style>
  <w:style w:type="paragraph" w:styleId="TM1">
    <w:name w:val="toc 1"/>
    <w:basedOn w:val="Normal"/>
    <w:next w:val="Normal"/>
    <w:autoRedefine/>
    <w:uiPriority w:val="39"/>
    <w:unhideWhenUsed/>
    <w:rsid w:val="00676C79"/>
    <w:pPr>
      <w:tabs>
        <w:tab w:val="right" w:pos="8222"/>
      </w:tabs>
    </w:pPr>
    <w:rPr>
      <w:rFonts w:ascii="Marianne" w:hAnsi="Marianne"/>
      <w:b/>
      <w:bCs/>
      <w:color w:val="215479"/>
      <w:sz w:val="24"/>
      <w:szCs w:val="32"/>
    </w:rPr>
  </w:style>
  <w:style w:type="paragraph" w:styleId="TM3">
    <w:name w:val="toc 3"/>
    <w:basedOn w:val="Normal"/>
    <w:next w:val="Normal"/>
    <w:autoRedefine/>
    <w:uiPriority w:val="39"/>
    <w:unhideWhenUsed/>
    <w:rsid w:val="00676C79"/>
    <w:pPr>
      <w:tabs>
        <w:tab w:val="right" w:leader="dot" w:pos="8222"/>
      </w:tabs>
      <w:ind w:left="993"/>
    </w:pPr>
    <w:rPr>
      <w:sz w:val="18"/>
      <w:szCs w:val="21"/>
    </w:rPr>
  </w:style>
  <w:style w:type="paragraph" w:styleId="TM2">
    <w:name w:val="toc 2"/>
    <w:basedOn w:val="TM3"/>
    <w:next w:val="Normal"/>
    <w:autoRedefine/>
    <w:uiPriority w:val="39"/>
    <w:unhideWhenUsed/>
    <w:rsid w:val="00676C79"/>
    <w:pPr>
      <w:numPr>
        <w:numId w:val="35"/>
      </w:numPr>
      <w:tabs>
        <w:tab w:val="right" w:pos="8222"/>
      </w:tabs>
    </w:pPr>
  </w:style>
  <w:style w:type="table" w:styleId="Tramemoyenne1-Accent4">
    <w:name w:val="Medium Shading 1 Accent 4"/>
    <w:basedOn w:val="TableauNormal"/>
    <w:uiPriority w:val="63"/>
    <w:rsid w:val="00676C79"/>
    <w:pPr>
      <w:widowControl/>
      <w:autoSpaceDN/>
      <w:textAlignment w:val="auto"/>
    </w:pPr>
    <w:rPr>
      <w:rFonts w:asciiTheme="minorHAnsi" w:eastAsiaTheme="minorHAnsi" w:hAnsiTheme="minorHAnsi" w:cstheme="minorBidi"/>
      <w:lang w:eastAsia="en-US"/>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insee.fr/fr/statistiques/8673212?sommaire=8648307" TargetMode="External"/><Relationship Id="rId2" Type="http://schemas.openxmlformats.org/officeDocument/2006/relationships/styles" Target="styles.xml"/><Relationship Id="rId16" Type="http://schemas.openxmlformats.org/officeDocument/2006/relationships/hyperlink" Target="https://www.insee.fr/fr/statistiques/2011101?geo=COM-4719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insee.fr/fr/statistiques/2011101?geo=COM-470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str-dgesco-c-bse\01-Pole%20infographie-ressources\INSEE\FDS-CORRIGE_RA2025_Culture_statistique_SES_math.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FDS-CORRIGE_RA2025_Culture_statistique_SES_math.dotx</Template>
  <TotalTime>3</TotalTime>
  <Pages>12</Pages>
  <Words>3941</Words>
  <Characters>21680</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dc:creator>
  <cp:lastModifiedBy>JEROME SAVIDAN</cp:lastModifiedBy>
  <cp:revision>3</cp:revision>
  <dcterms:created xsi:type="dcterms:W3CDTF">2026-06-22T13:02:00Z</dcterms:created>
  <dcterms:modified xsi:type="dcterms:W3CDTF">2026-06-22T13:02:00Z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INSEE</vt:lpwstr>
  </property>
</Properties>
</file>