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454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836"/>
        <w:gridCol w:w="283"/>
        <w:gridCol w:w="9356"/>
        <w:gridCol w:w="283"/>
        <w:gridCol w:w="3119"/>
        <w:gridCol w:w="577"/>
      </w:tblGrid>
      <w:tr w:rsidR="00AC414F" w:rsidRPr="00401CCB" w14:paraId="75457DC7" w14:textId="77777777" w:rsidTr="003E5B09">
        <w:trPr>
          <w:trHeight w:hRule="exact" w:val="850"/>
        </w:trPr>
        <w:tc>
          <w:tcPr>
            <w:tcW w:w="12475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11646175" w14:textId="6FEC1DFE" w:rsidR="0009045A" w:rsidRDefault="00844C6A" w:rsidP="0009045A">
            <w:pPr>
              <w:pStyle w:val="Sansinterligne"/>
              <w:spacing w:before="40"/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</w:pPr>
            <w:r w:rsidRPr="0009045A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  <w:t>2.</w:t>
            </w:r>
            <w:r w:rsidR="0009045A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  <w:t>6</w:t>
            </w:r>
            <w:r w:rsidR="00E92E4C" w:rsidRPr="006D1CF6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09045A" w:rsidRPr="0009045A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  <w:t xml:space="preserve">Travailler la communication interne </w:t>
            </w:r>
            <w:r w:rsidR="0009045A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  <w:t>à</w:t>
            </w:r>
            <w:r w:rsidR="0009045A" w:rsidRPr="0009045A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  <w:lang w:eastAsia="en-US"/>
              </w:rPr>
              <w:t xml:space="preserve"> l’établissement </w:t>
            </w:r>
          </w:p>
          <w:p w14:paraId="633CCD12" w14:textId="77777777" w:rsidR="0009045A" w:rsidRPr="00E07766" w:rsidRDefault="0009045A" w:rsidP="0009045A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  <w:r w:rsidRPr="00E07766">
              <w:rPr>
                <w:rFonts w:ascii="Arial" w:hAnsi="Arial" w:cs="Arial"/>
                <w:sz w:val="14"/>
                <w:szCs w:val="14"/>
              </w:rPr>
              <w:t xml:space="preserve">Code de l’éducation : </w:t>
            </w:r>
            <w:hyperlink r:id="rId8" w:history="1">
              <w:r w:rsidRPr="00E07766">
                <w:rPr>
                  <w:rStyle w:val="Lienhypertexte"/>
                  <w:rFonts w:ascii="Arial" w:hAnsi="Arial" w:cs="Arial"/>
                  <w:sz w:val="14"/>
                  <w:szCs w:val="14"/>
                </w:rPr>
                <w:t>art. L. 111-3</w:t>
              </w:r>
            </w:hyperlink>
            <w:r w:rsidRPr="00E07766"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9" w:history="1">
              <w:r w:rsidRPr="00E07766">
                <w:rPr>
                  <w:rStyle w:val="Lienhypertexte"/>
                  <w:rFonts w:ascii="Arial" w:hAnsi="Arial" w:cs="Arial"/>
                  <w:sz w:val="14"/>
                  <w:szCs w:val="14"/>
                </w:rPr>
                <w:t>art. L. 111-4</w:t>
              </w:r>
            </w:hyperlink>
            <w:r w:rsidRPr="00E07766">
              <w:rPr>
                <w:rFonts w:ascii="Arial" w:hAnsi="Arial" w:cs="Arial"/>
                <w:sz w:val="14"/>
                <w:szCs w:val="14"/>
              </w:rPr>
              <w:t xml:space="preserve">, </w:t>
            </w:r>
            <w:hyperlink r:id="rId10" w:history="1">
              <w:r w:rsidRPr="00E07766">
                <w:rPr>
                  <w:rStyle w:val="Lienhypertexte"/>
                  <w:rFonts w:ascii="Arial" w:hAnsi="Arial" w:cs="Arial"/>
                  <w:sz w:val="14"/>
                  <w:szCs w:val="14"/>
                </w:rPr>
                <w:t>art. L. 521-4</w:t>
              </w:r>
            </w:hyperlink>
            <w:r w:rsidRPr="00E07766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B0F9B2F" w14:textId="2E9408E7" w:rsidR="00127EA9" w:rsidRPr="00127EA9" w:rsidRDefault="0009045A" w:rsidP="0009045A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  <w:r w:rsidRPr="00E07766">
              <w:rPr>
                <w:rFonts w:ascii="Arial" w:hAnsi="Arial" w:cs="Arial"/>
                <w:sz w:val="14"/>
                <w:szCs w:val="14"/>
              </w:rPr>
              <w:t xml:space="preserve">Circulaire : </w:t>
            </w:r>
            <w:hyperlink r:id="rId11" w:history="1">
              <w:r w:rsidRPr="00E07766">
                <w:rPr>
                  <w:rStyle w:val="Lienhypertexte"/>
                  <w:rFonts w:ascii="Arial" w:hAnsi="Arial" w:cs="Arial"/>
                  <w:sz w:val="14"/>
                  <w:szCs w:val="14"/>
                </w:rPr>
                <w:t>n° 2013-142 du 15-10-2013</w:t>
              </w:r>
            </w:hyperlink>
            <w:r w:rsidRPr="00E07766">
              <w:rPr>
                <w:rFonts w:ascii="Arial" w:hAnsi="Arial" w:cs="Arial"/>
                <w:sz w:val="14"/>
                <w:szCs w:val="14"/>
              </w:rPr>
              <w:t xml:space="preserve"> (renforcer la coopération entre les parents et l'école dans les territoires).</w:t>
            </w:r>
          </w:p>
        </w:tc>
        <w:tc>
          <w:tcPr>
            <w:tcW w:w="28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844C6A">
            <w:pPr>
              <w:ind w:left="-283" w:right="321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3E5B09">
        <w:trPr>
          <w:gridAfter w:val="1"/>
          <w:wAfter w:w="577" w:type="dxa"/>
          <w:trHeight w:val="57"/>
        </w:trPr>
        <w:tc>
          <w:tcPr>
            <w:tcW w:w="2836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834341" w:rsidRPr="00401CCB" w14:paraId="07196ED3" w14:textId="77777777" w:rsidTr="003E5B09">
        <w:trPr>
          <w:gridAfter w:val="1"/>
          <w:wAfter w:w="577" w:type="dxa"/>
          <w:trHeight w:hRule="exact" w:val="573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5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3E5B09">
        <w:trPr>
          <w:gridAfter w:val="1"/>
          <w:wAfter w:w="577" w:type="dxa"/>
          <w:trHeight w:hRule="exact" w:val="8553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5D2F6B" w:rsidRDefault="00FC266A" w:rsidP="0009045A">
            <w:pPr>
              <w:tabs>
                <w:tab w:val="left" w:pos="2561"/>
              </w:tabs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5D2F6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47DE94B1" w14:textId="73B6DE9A" w:rsidR="0009045A" w:rsidRPr="0009045A" w:rsidRDefault="0009045A" w:rsidP="0009045A">
            <w:pPr>
              <w:widowControl w:val="0"/>
              <w:tabs>
                <w:tab w:val="left" w:pos="2561"/>
              </w:tabs>
              <w:spacing w:after="120"/>
              <w:ind w:left="90" w:right="35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La communication s'inscrit dans le cadre du pilotage de l’établissement. Elle revêt des formes différentes en fonction de l'objet de communication et des destinataires. La communication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09045A">
              <w:rPr>
                <w:rFonts w:ascii="Arial" w:eastAsia="MS Mincho" w:hAnsi="Arial" w:cs="Arial"/>
                <w:sz w:val="18"/>
                <w:szCs w:val="18"/>
              </w:rPr>
              <w:t>d'établissement nécessite un effort de traitement et de maîtrise des informations. Bien maîtrisée, elle contribue à asseoir l’image d’un établissement et à faire évoluer les pratiques.</w:t>
            </w:r>
          </w:p>
          <w:p w14:paraId="40FB1933" w14:textId="77777777" w:rsidR="0009045A" w:rsidRPr="0009045A" w:rsidRDefault="0009045A" w:rsidP="0009045A">
            <w:pPr>
              <w:widowControl w:val="0"/>
              <w:numPr>
                <w:ilvl w:val="0"/>
                <w:numId w:val="3"/>
              </w:numPr>
              <w:tabs>
                <w:tab w:val="left" w:pos="2561"/>
              </w:tabs>
              <w:spacing w:after="120"/>
              <w:ind w:left="284" w:right="35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Comment la communication apparaît-elle dans la stratégie du projet de l’établissement ? Dans quel but et pour quels objectifs ?</w:t>
            </w:r>
          </w:p>
          <w:p w14:paraId="7C029DA1" w14:textId="77777777" w:rsidR="0009045A" w:rsidRPr="0009045A" w:rsidRDefault="0009045A" w:rsidP="0009045A">
            <w:pPr>
              <w:widowControl w:val="0"/>
              <w:numPr>
                <w:ilvl w:val="0"/>
                <w:numId w:val="3"/>
              </w:numPr>
              <w:tabs>
                <w:tab w:val="left" w:pos="2561"/>
              </w:tabs>
              <w:spacing w:after="120"/>
              <w:ind w:left="284" w:right="35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En fonction des cibles (personnels, élèves, parents), quelles sont les formes de communication privilégiées par l’établissement (écrits, réunions, rencontres, bulletin périodique, site internet) ?</w:t>
            </w:r>
          </w:p>
          <w:p w14:paraId="0B661D1B" w14:textId="77777777" w:rsidR="0009045A" w:rsidRPr="0009045A" w:rsidRDefault="0009045A" w:rsidP="0009045A">
            <w:pPr>
              <w:widowControl w:val="0"/>
              <w:numPr>
                <w:ilvl w:val="0"/>
                <w:numId w:val="3"/>
              </w:numPr>
              <w:tabs>
                <w:tab w:val="left" w:pos="2561"/>
              </w:tabs>
              <w:spacing w:after="120"/>
              <w:ind w:left="284" w:right="35" w:hanging="19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Y a-t-il un plan de communication interne ?</w:t>
            </w:r>
          </w:p>
          <w:p w14:paraId="677752C6" w14:textId="77777777" w:rsidR="0009045A" w:rsidRPr="0009045A" w:rsidRDefault="0009045A" w:rsidP="0009045A">
            <w:pPr>
              <w:widowControl w:val="0"/>
              <w:numPr>
                <w:ilvl w:val="0"/>
                <w:numId w:val="3"/>
              </w:numPr>
              <w:tabs>
                <w:tab w:val="left" w:pos="2561"/>
              </w:tabs>
              <w:spacing w:after="120"/>
              <w:ind w:left="284" w:right="35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Y-a-t-il un ou des « référents communication » clairement identifiés ?</w:t>
            </w:r>
          </w:p>
          <w:p w14:paraId="460A99C9" w14:textId="77777777" w:rsidR="00660471" w:rsidRPr="00660471" w:rsidRDefault="00660471" w:rsidP="0009045A">
            <w:pPr>
              <w:tabs>
                <w:tab w:val="left" w:pos="2561"/>
              </w:tabs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09045A">
            <w:pPr>
              <w:tabs>
                <w:tab w:val="left" w:pos="2561"/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356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 xml:space="preserve">Acteurs – </w:t>
            </w:r>
            <w:r w:rsidRPr="005D2F6B">
              <w:rPr>
                <w:rFonts w:ascii="Arial" w:hAnsi="Arial" w:cs="Arial"/>
                <w:b/>
                <w:color w:val="2AAC66"/>
              </w:rPr>
              <w:t>Actions – Moyens</w:t>
            </w:r>
            <w:r w:rsidRPr="00401CCB">
              <w:rPr>
                <w:rFonts w:ascii="Arial" w:hAnsi="Arial" w:cs="Arial"/>
                <w:b/>
                <w:color w:val="2AAC66"/>
              </w:rPr>
              <w:t xml:space="preserve"> – Temps</w:t>
            </w:r>
          </w:p>
          <w:p w14:paraId="0C60BAD6" w14:textId="77777777" w:rsidR="0009045A" w:rsidRPr="0009045A" w:rsidRDefault="0009045A" w:rsidP="0009045A">
            <w:pPr>
              <w:widowControl w:val="0"/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Responsabiliser </w:t>
            </w:r>
          </w:p>
          <w:p w14:paraId="3D4314EA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 xml:space="preserve">Quels sont les acteurs (personnes-relais, instances…) de la communication interne ? </w:t>
            </w:r>
          </w:p>
          <w:p w14:paraId="273354AA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Quels sujets sont intégrés à la stratégie de communication interne ?</w:t>
            </w:r>
          </w:p>
          <w:p w14:paraId="431C1F0A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l’information interne à l’établissement est-elle diffusée ?</w:t>
            </w:r>
          </w:p>
          <w:p w14:paraId="5A5ADE50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Les vecteurs utilisés sont-ils bien appropriés ?</w:t>
            </w:r>
          </w:p>
          <w:p w14:paraId="55B4A9A2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les personnels auxquels l’information interne est destinée réagissent-ils ?</w:t>
            </w:r>
          </w:p>
          <w:p w14:paraId="17EACDDD" w14:textId="77777777" w:rsid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 xml:space="preserve">Une réflexion collective sur la communication au sein de l’établissement a-t-elle été menée ? Comment les élèves et leurs représentants légaux y sont-ils associés ? </w:t>
            </w:r>
          </w:p>
          <w:p w14:paraId="61CF96D7" w14:textId="3E387B9B" w:rsidR="0009045A" w:rsidRP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Quelles sont les formations proposées pour l’utilisation de l’outil numérique dans la communication ?</w:t>
            </w:r>
          </w:p>
          <w:p w14:paraId="1D7814FD" w14:textId="77777777" w:rsidR="0009045A" w:rsidRPr="00E07766" w:rsidRDefault="0009045A" w:rsidP="0009045A">
            <w:pPr>
              <w:spacing w:before="120" w:after="60"/>
              <w:ind w:left="176" w:hanging="176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07766">
              <w:rPr>
                <w:rFonts w:ascii="Arial" w:hAnsi="Arial" w:cs="Arial"/>
                <w:b/>
                <w:color w:val="00B050"/>
                <w:sz w:val="18"/>
                <w:szCs w:val="18"/>
              </w:rPr>
              <w:t>Promouvoir l’image de l’établissement</w:t>
            </w:r>
          </w:p>
          <w:p w14:paraId="32D178A1" w14:textId="58BFA5BA" w:rsidR="0009045A" w:rsidRPr="0009045A" w:rsidRDefault="0009045A" w:rsidP="0009045A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l’information est-elle actualisée et renouvelée ?</w:t>
            </w:r>
          </w:p>
          <w:p w14:paraId="075ADEBE" w14:textId="77777777" w:rsidR="0009045A" w:rsidRPr="00E07766" w:rsidRDefault="0009045A" w:rsidP="0009045A">
            <w:pPr>
              <w:spacing w:before="120" w:after="60"/>
              <w:ind w:left="176" w:hanging="176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07766">
              <w:rPr>
                <w:rFonts w:ascii="Arial" w:hAnsi="Arial" w:cs="Arial"/>
                <w:b/>
                <w:color w:val="00B050"/>
                <w:sz w:val="18"/>
                <w:szCs w:val="18"/>
              </w:rPr>
              <w:t>Communiquer dans l’établissement</w:t>
            </w:r>
          </w:p>
          <w:p w14:paraId="43570C81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Quelles sont les modalités d’accueil des nouveaux personnels ?</w:t>
            </w:r>
          </w:p>
          <w:p w14:paraId="7DC1000D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Quelles sont les procédures de concertation et d’information concernant les points clés du fonctionnement (dotation horaire globale ; répartition des services ; constitution des équipes pédagogiques intervenant dans le cadre de la co-intervention, de réalisation du chef d’œuvre, de l’accompagnement personnalisé) ?</w:t>
            </w:r>
          </w:p>
          <w:p w14:paraId="6239DC45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Quelles sont les modalités d’écoute et d’accompagnement des personnels ? des élèves ? Quelle place est accordée aux représentants des élèves ?</w:t>
            </w:r>
          </w:p>
          <w:p w14:paraId="4435139A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La qualité de la diffusion de l’information est-elle vérifiée ?</w:t>
            </w:r>
          </w:p>
          <w:p w14:paraId="682E7D6F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s’assure-t-on de l’efficacité et de la pertinence des moyens utilisés ?</w:t>
            </w:r>
          </w:p>
          <w:p w14:paraId="3C94EF66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Quels sont les outils de communication et d’information déployés dans l’établissement (affichage, site internet, bulletin d’information périodique, calendrier) ?</w:t>
            </w:r>
          </w:p>
          <w:p w14:paraId="4720DC49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 xml:space="preserve">Quelle est la circulation des informations ? Comment l’efficacité de la diffusion de l’information est-elle vérifiée ? </w:t>
            </w:r>
          </w:p>
          <w:p w14:paraId="477AE35D" w14:textId="075AA89F" w:rsidR="0009045A" w:rsidRP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la diffusion des informations aux enseignants, aux élèves, aux parents d’élèves, aux associations, aux instances, est-elle organisée ?</w:t>
            </w:r>
          </w:p>
          <w:p w14:paraId="58AE7561" w14:textId="7D51F1FB" w:rsidR="005C6152" w:rsidRPr="005D2545" w:rsidRDefault="005C6152" w:rsidP="005C6152">
            <w:pPr>
              <w:widowControl w:val="0"/>
              <w:tabs>
                <w:tab w:val="left" w:pos="323"/>
              </w:tabs>
              <w:spacing w:before="120" w:after="60"/>
              <w:ind w:right="172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5D2545">
              <w:rPr>
                <w:rFonts w:ascii="Arial" w:hAnsi="Arial" w:cs="Arial"/>
                <w:b/>
                <w:color w:val="00B050"/>
                <w:sz w:val="18"/>
                <w:szCs w:val="18"/>
              </w:rPr>
              <w:t>Communiquer</w:t>
            </w:r>
            <w:r w:rsidR="0009045A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avec les familles</w:t>
            </w:r>
          </w:p>
          <w:p w14:paraId="152027A4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Quel est le planning des rencontres prévues avec les familles ?</w:t>
            </w:r>
          </w:p>
          <w:p w14:paraId="0C4B5638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Les rencontres avec les familles permettent-elles l’accueil et le suivi du jeune tout au long de son parcours (inscription, suivi avec les professeurs, orientation, poursuite d’études ou insertion professionnelle…) ?</w:t>
            </w:r>
          </w:p>
          <w:p w14:paraId="3BDD991A" w14:textId="77777777" w:rsidR="0009045A" w:rsidRDefault="0009045A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9045A">
              <w:rPr>
                <w:rFonts w:ascii="Arial" w:hAnsi="Arial" w:cs="Arial"/>
                <w:sz w:val="18"/>
                <w:szCs w:val="18"/>
              </w:rPr>
              <w:t>Comment les familles sont-elles associées à des groupes de travail ?</w:t>
            </w:r>
          </w:p>
          <w:p w14:paraId="556D56CA" w14:textId="117D84F3" w:rsidR="0009045A" w:rsidRPr="0009045A" w:rsidRDefault="008B4723" w:rsidP="003E5B09">
            <w:pPr>
              <w:pStyle w:val="Paragraphedeliste"/>
              <w:widowControl w:val="0"/>
              <w:numPr>
                <w:ilvl w:val="0"/>
                <w:numId w:val="16"/>
              </w:numPr>
              <w:spacing w:after="40"/>
              <w:ind w:left="170" w:hanging="142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 modalités particulières sont-elles prévues</w:t>
            </w:r>
            <w:r w:rsidR="0009045A" w:rsidRPr="0009045A">
              <w:rPr>
                <w:rFonts w:ascii="Arial" w:hAnsi="Arial" w:cs="Arial"/>
                <w:sz w:val="18"/>
                <w:szCs w:val="18"/>
              </w:rPr>
              <w:t xml:space="preserve"> pour les familles les plus éloignées de l’institution scolaire ?</w:t>
            </w:r>
          </w:p>
        </w:tc>
        <w:tc>
          <w:tcPr>
            <w:tcW w:w="28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26B7FEB2" w:rsidR="004B73D9" w:rsidRPr="007E115A" w:rsidRDefault="004B73D9" w:rsidP="007E115A">
            <w:pPr>
              <w:spacing w:before="60" w:after="120"/>
              <w:rPr>
                <w:rFonts w:ascii="Arial" w:hAnsi="Arial" w:cs="Arial"/>
                <w:b/>
                <w:color w:val="EE7444"/>
              </w:rPr>
            </w:pPr>
            <w:r w:rsidRPr="005D2F6B">
              <w:rPr>
                <w:rFonts w:ascii="Arial" w:hAnsi="Arial" w:cs="Arial"/>
                <w:b/>
                <w:color w:val="EE7444"/>
              </w:rPr>
              <w:t>Exemples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1D251F76" w14:textId="77777777" w:rsidR="0009045A" w:rsidRPr="0009045A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Faciliter l’appropriation de l’information diffusée pour les personnels et les usagers : taux de relance sur des sujets impactant la vie de l’établissement et qui ont déjà faut l’objet d’une communication ; taux de réponse avant relance suite à une sollicitation.</w:t>
            </w:r>
          </w:p>
          <w:p w14:paraId="3434A5DE" w14:textId="77777777" w:rsidR="0009045A" w:rsidRPr="0009045A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Indicateur de visibilité : nombre de connexion à l’ENT de l’établissement, nombre de contributeurs internes au site et autres outils de communication, fréquence de mise à jour et actualité des informations disponibles…</w:t>
            </w:r>
          </w:p>
          <w:p w14:paraId="62CC11BC" w14:textId="77777777" w:rsidR="0009045A" w:rsidRPr="0009045A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Indicateurs relatifs aux représentants légaux : taux de participation aux élections du conseil d’administration, aux réunions parents/professeurs, aux différentes actions, groupes de travail ou manifestations auxquelles elles sont invitées.</w:t>
            </w:r>
          </w:p>
          <w:p w14:paraId="49D13C34" w14:textId="77777777" w:rsidR="0009045A" w:rsidRPr="0009045A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Indicateurs relatifs aux élèves : assiduité dans les instances, nombre d’articles rédigés par les élèves et publiés sur les différents médias…</w:t>
            </w:r>
          </w:p>
          <w:p w14:paraId="7AFF67BC" w14:textId="77777777" w:rsidR="0009045A" w:rsidRPr="0009045A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Indicateurs d’enquêtes de satisfaction (construites en interne).</w:t>
            </w:r>
          </w:p>
          <w:p w14:paraId="496DE2AF" w14:textId="333B9720" w:rsidR="00BE65D0" w:rsidRPr="00401CCB" w:rsidRDefault="0009045A" w:rsidP="0009045A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09045A">
              <w:rPr>
                <w:rFonts w:ascii="Arial" w:eastAsia="MS Mincho" w:hAnsi="Arial" w:cs="Arial"/>
                <w:sz w:val="18"/>
                <w:szCs w:val="18"/>
              </w:rPr>
              <w:t>Identification claire par l’ensemble des membres de la communauté scolaire des « référents communication » de l’établissement.</w:t>
            </w:r>
          </w:p>
        </w:tc>
      </w:tr>
    </w:tbl>
    <w:p w14:paraId="51D33BC2" w14:textId="77777777" w:rsidR="00766D31" w:rsidRPr="00766D31" w:rsidRDefault="00766D31" w:rsidP="00766D31">
      <w:pPr>
        <w:sectPr w:rsidR="00766D31" w:rsidRPr="00766D31" w:rsidSect="00834341">
          <w:footerReference w:type="default" r:id="rId13"/>
          <w:pgSz w:w="16838" w:h="11906" w:orient="landscape"/>
          <w:pgMar w:top="426" w:right="1387" w:bottom="1" w:left="1134" w:header="567" w:footer="205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6291FA1F">
              <wp:simplePos x="0" y="0"/>
              <wp:positionH relativeFrom="column">
                <wp:posOffset>1151240</wp:posOffset>
              </wp:positionH>
              <wp:positionV relativeFrom="paragraph">
                <wp:posOffset>9718</wp:posOffset>
              </wp:positionV>
              <wp:extent cx="2231136" cy="63246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2678CFD8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</w:t>
                          </w:r>
                          <w:r w:rsidR="007E115A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s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: </w:t>
                          </w:r>
                          <w:r w:rsidR="00344CC4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</w:t>
                          </w:r>
                          <w:r w:rsidR="00344CC4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 b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65pt;margin-top:.75pt;width:175.7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" fillcolor="white [3201]" stroked="f" strokeweight=".5pt">
              <v:textbox>
                <w:txbxContent>
                  <w:p w14:paraId="2F782134" w14:textId="2678CFD8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</w:t>
                    </w:r>
                    <w:r w:rsidR="007E115A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s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: </w:t>
                    </w:r>
                    <w:r w:rsidR="00344CC4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</w:t>
                    </w:r>
                    <w:r w:rsidR="00344CC4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 b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117112A1" w:rsidR="001407FA" w:rsidRPr="00436D64" w:rsidRDefault="007E115A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2.</w:t>
                          </w:r>
                          <w:r w:rsidR="00766D31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117112A1" w:rsidR="001407FA" w:rsidRPr="00436D64" w:rsidRDefault="007E115A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2.</w:t>
                    </w:r>
                    <w:r w:rsidR="00766D31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2472"/>
    <w:multiLevelType w:val="hybridMultilevel"/>
    <w:tmpl w:val="59E87C8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345"/>
    <w:multiLevelType w:val="hybridMultilevel"/>
    <w:tmpl w:val="F63E29D0"/>
    <w:lvl w:ilvl="0" w:tplc="020610A8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C555A"/>
    <w:multiLevelType w:val="hybridMultilevel"/>
    <w:tmpl w:val="274E6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0"/>
  </w:num>
  <w:num w:numId="2" w16cid:durableId="1496527722">
    <w:abstractNumId w:val="0"/>
  </w:num>
  <w:num w:numId="3" w16cid:durableId="1942570898">
    <w:abstractNumId w:val="8"/>
  </w:num>
  <w:num w:numId="4" w16cid:durableId="8222907">
    <w:abstractNumId w:val="13"/>
  </w:num>
  <w:num w:numId="5" w16cid:durableId="2008701794">
    <w:abstractNumId w:val="9"/>
  </w:num>
  <w:num w:numId="6" w16cid:durableId="514928024">
    <w:abstractNumId w:val="7"/>
  </w:num>
  <w:num w:numId="7" w16cid:durableId="369577301">
    <w:abstractNumId w:val="15"/>
  </w:num>
  <w:num w:numId="8" w16cid:durableId="1352150428">
    <w:abstractNumId w:val="12"/>
  </w:num>
  <w:num w:numId="9" w16cid:durableId="610284317">
    <w:abstractNumId w:val="6"/>
  </w:num>
  <w:num w:numId="10" w16cid:durableId="971638984">
    <w:abstractNumId w:val="2"/>
  </w:num>
  <w:num w:numId="11" w16cid:durableId="526454694">
    <w:abstractNumId w:val="3"/>
  </w:num>
  <w:num w:numId="12" w16cid:durableId="944579204">
    <w:abstractNumId w:val="11"/>
  </w:num>
  <w:num w:numId="13" w16cid:durableId="1464075894">
    <w:abstractNumId w:val="5"/>
  </w:num>
  <w:num w:numId="14" w16cid:durableId="1554779285">
    <w:abstractNumId w:val="14"/>
  </w:num>
  <w:num w:numId="15" w16cid:durableId="1573925523">
    <w:abstractNumId w:val="4"/>
  </w:num>
  <w:num w:numId="16" w16cid:durableId="176595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416FD"/>
    <w:rsid w:val="000818C2"/>
    <w:rsid w:val="000850E8"/>
    <w:rsid w:val="0009045A"/>
    <w:rsid w:val="0009739A"/>
    <w:rsid w:val="000A1EDB"/>
    <w:rsid w:val="000A6FED"/>
    <w:rsid w:val="000C032B"/>
    <w:rsid w:val="000D1AEE"/>
    <w:rsid w:val="000F4D07"/>
    <w:rsid w:val="0011158D"/>
    <w:rsid w:val="0012632A"/>
    <w:rsid w:val="00127EA9"/>
    <w:rsid w:val="0013428E"/>
    <w:rsid w:val="001407FA"/>
    <w:rsid w:val="001A4A6A"/>
    <w:rsid w:val="001B37E2"/>
    <w:rsid w:val="001E1709"/>
    <w:rsid w:val="00224C3B"/>
    <w:rsid w:val="00233826"/>
    <w:rsid w:val="00246FD9"/>
    <w:rsid w:val="002515C9"/>
    <w:rsid w:val="002838D7"/>
    <w:rsid w:val="00286C64"/>
    <w:rsid w:val="00287D65"/>
    <w:rsid w:val="002A5DE8"/>
    <w:rsid w:val="002B1FB6"/>
    <w:rsid w:val="002E1E8D"/>
    <w:rsid w:val="00300E11"/>
    <w:rsid w:val="00335D4E"/>
    <w:rsid w:val="003426AD"/>
    <w:rsid w:val="003441CC"/>
    <w:rsid w:val="00344CC4"/>
    <w:rsid w:val="003B2904"/>
    <w:rsid w:val="003E5B09"/>
    <w:rsid w:val="003F19AB"/>
    <w:rsid w:val="00401CCB"/>
    <w:rsid w:val="00436D64"/>
    <w:rsid w:val="00464261"/>
    <w:rsid w:val="00484223"/>
    <w:rsid w:val="004B62D6"/>
    <w:rsid w:val="004B73D9"/>
    <w:rsid w:val="004C5166"/>
    <w:rsid w:val="004D6944"/>
    <w:rsid w:val="00513EC2"/>
    <w:rsid w:val="0055112B"/>
    <w:rsid w:val="00581E16"/>
    <w:rsid w:val="005C6152"/>
    <w:rsid w:val="005D2F6B"/>
    <w:rsid w:val="00640C67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6F1317"/>
    <w:rsid w:val="007256F1"/>
    <w:rsid w:val="0074412C"/>
    <w:rsid w:val="007647F8"/>
    <w:rsid w:val="00765749"/>
    <w:rsid w:val="00766D31"/>
    <w:rsid w:val="007B5ED0"/>
    <w:rsid w:val="007E115A"/>
    <w:rsid w:val="00816F70"/>
    <w:rsid w:val="00817537"/>
    <w:rsid w:val="00830716"/>
    <w:rsid w:val="00834341"/>
    <w:rsid w:val="00844C6A"/>
    <w:rsid w:val="00863C62"/>
    <w:rsid w:val="008702A8"/>
    <w:rsid w:val="0087071A"/>
    <w:rsid w:val="00871D88"/>
    <w:rsid w:val="0087536D"/>
    <w:rsid w:val="008B4723"/>
    <w:rsid w:val="008C62CE"/>
    <w:rsid w:val="008F3D0F"/>
    <w:rsid w:val="008F4D8F"/>
    <w:rsid w:val="00902070"/>
    <w:rsid w:val="00905628"/>
    <w:rsid w:val="00935DEE"/>
    <w:rsid w:val="00937DDD"/>
    <w:rsid w:val="00993767"/>
    <w:rsid w:val="009A7ECE"/>
    <w:rsid w:val="009E77A4"/>
    <w:rsid w:val="009F1970"/>
    <w:rsid w:val="00A229F4"/>
    <w:rsid w:val="00A9517C"/>
    <w:rsid w:val="00A97672"/>
    <w:rsid w:val="00AA0CB0"/>
    <w:rsid w:val="00AC414F"/>
    <w:rsid w:val="00AC7DD5"/>
    <w:rsid w:val="00B04563"/>
    <w:rsid w:val="00B24E14"/>
    <w:rsid w:val="00B27C22"/>
    <w:rsid w:val="00B300E5"/>
    <w:rsid w:val="00B37AD8"/>
    <w:rsid w:val="00B37D7D"/>
    <w:rsid w:val="00B44C13"/>
    <w:rsid w:val="00B4659B"/>
    <w:rsid w:val="00B471F2"/>
    <w:rsid w:val="00B65C50"/>
    <w:rsid w:val="00B850CF"/>
    <w:rsid w:val="00B87B70"/>
    <w:rsid w:val="00BA47D0"/>
    <w:rsid w:val="00BC2A6A"/>
    <w:rsid w:val="00BD0C56"/>
    <w:rsid w:val="00BE65D0"/>
    <w:rsid w:val="00BF1B79"/>
    <w:rsid w:val="00C23442"/>
    <w:rsid w:val="00C73334"/>
    <w:rsid w:val="00CA7A6B"/>
    <w:rsid w:val="00CC73DE"/>
    <w:rsid w:val="00CC79D9"/>
    <w:rsid w:val="00CF60FD"/>
    <w:rsid w:val="00D00107"/>
    <w:rsid w:val="00D04DB2"/>
    <w:rsid w:val="00D263FE"/>
    <w:rsid w:val="00D403B1"/>
    <w:rsid w:val="00D4569F"/>
    <w:rsid w:val="00D468E4"/>
    <w:rsid w:val="00D7761A"/>
    <w:rsid w:val="00DB2EE9"/>
    <w:rsid w:val="00DB56D0"/>
    <w:rsid w:val="00DC5222"/>
    <w:rsid w:val="00E033AF"/>
    <w:rsid w:val="00E368D5"/>
    <w:rsid w:val="00E66CC3"/>
    <w:rsid w:val="00E67071"/>
    <w:rsid w:val="00E92E4C"/>
    <w:rsid w:val="00EF5CE6"/>
    <w:rsid w:val="00F025EA"/>
    <w:rsid w:val="00F079D0"/>
    <w:rsid w:val="00F5376E"/>
    <w:rsid w:val="00F70AC2"/>
    <w:rsid w:val="00F75259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4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;jsessionid=9EDE177EDDC09B2F3ED0754D9021BAEF.tplgfr27s_2?idArticle=LEGIARTI000038902126&amp;cidTexte=LEGITEXT000006071191&amp;categorieLien=id&amp;dateTexte=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gouv.fr/pid25535/bulletin_officiel.html?cid_bo=74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france.gouv.fr/affichCodeArticle.do?cidTexte=LEGITEXT000006071191&amp;idArticle=LEGIARTI000006525128&amp;dateTexte=&amp;categorieLien=c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06524371&amp;cidTexte=LEGITEXT00000607119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10</cp:revision>
  <dcterms:created xsi:type="dcterms:W3CDTF">2026-03-22T21:20:00Z</dcterms:created>
  <dcterms:modified xsi:type="dcterms:W3CDTF">2026-03-22T21:40:00Z</dcterms:modified>
</cp:coreProperties>
</file>