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273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836"/>
        <w:gridCol w:w="236"/>
        <w:gridCol w:w="9261"/>
        <w:gridCol w:w="237"/>
        <w:gridCol w:w="3401"/>
        <w:gridCol w:w="302"/>
      </w:tblGrid>
      <w:tr w:rsidR="00AC414F" w:rsidRPr="00401CCB" w14:paraId="75457DC7" w14:textId="77777777" w:rsidTr="00C423F7">
        <w:trPr>
          <w:trHeight w:hRule="exact" w:val="896"/>
        </w:trPr>
        <w:tc>
          <w:tcPr>
            <w:tcW w:w="12333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3880A523" w14:textId="2283CB1B" w:rsidR="00E92E4C" w:rsidRPr="006D1CF6" w:rsidRDefault="00E92E4C" w:rsidP="00CC3322">
            <w:pPr>
              <w:pStyle w:val="Titre2"/>
              <w:numPr>
                <w:ilvl w:val="0"/>
                <w:numId w:val="0"/>
              </w:numPr>
              <w:spacing w:before="12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>1.</w:t>
            </w:r>
            <w:r w:rsidR="00B0469A">
              <w:rPr>
                <w:rFonts w:ascii="Arial" w:hAnsi="Arial" w:cs="Arial"/>
                <w:sz w:val="30"/>
                <w:szCs w:val="30"/>
                <w:lang w:val="fr-FR"/>
              </w:rPr>
              <w:t>16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="00B0469A" w:rsidRPr="00B0469A">
              <w:rPr>
                <w:rFonts w:ascii="Arial" w:hAnsi="Arial" w:cs="Arial"/>
                <w:sz w:val="30"/>
                <w:szCs w:val="30"/>
                <w:lang w:val="fr-FR"/>
              </w:rPr>
              <w:t xml:space="preserve">Mettre en œuvre l’accompagnement personnalisé (CAP) </w:t>
            </w:r>
            <w:r w:rsidR="00935DEE">
              <w:rPr>
                <w:rFonts w:ascii="Arial" w:hAnsi="Arial" w:cs="Arial"/>
                <w:sz w:val="30"/>
                <w:szCs w:val="30"/>
                <w:lang w:val="fr-FR"/>
              </w:rPr>
              <w:t>(1/2)</w:t>
            </w:r>
          </w:p>
          <w:p w14:paraId="3B0F9B2F" w14:textId="56E2BBE9" w:rsidR="00127EA9" w:rsidRPr="00127EA9" w:rsidRDefault="00CC3322" w:rsidP="008F3D0F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Code de l’éducation : articles </w:t>
            </w:r>
            <w:hyperlink r:id="rId8" w:history="1">
              <w:r w:rsidRPr="00CC3322">
                <w:rPr>
                  <w:rStyle w:val="Lienhypertexte"/>
                  <w:rFonts w:ascii="Arial" w:hAnsi="Arial" w:cs="Arial"/>
                  <w:sz w:val="14"/>
                  <w:szCs w:val="14"/>
                </w:rPr>
                <w:t>D333-2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9" w:history="1">
              <w:r w:rsidRPr="00CC3322">
                <w:rPr>
                  <w:rStyle w:val="Lienhypertexte"/>
                  <w:rFonts w:ascii="Arial" w:hAnsi="Arial" w:cs="Arial"/>
                  <w:sz w:val="14"/>
                  <w:szCs w:val="14"/>
                </w:rPr>
                <w:t>D333-16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B0469A" w:rsidRPr="00746F31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hyperlink r:id="rId10" w:history="1">
              <w:r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Arrêté du 21-11-2018 modifié</w:t>
              </w:r>
            </w:hyperlink>
            <w:r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 w:rsidR="00B0469A" w:rsidRPr="00746F31">
              <w:rPr>
                <w:rFonts w:ascii="Arial" w:hAnsi="Arial" w:cs="Arial"/>
                <w:sz w:val="14"/>
                <w:szCs w:val="14"/>
              </w:rPr>
              <w:t>relatif à l’organisation et aux enseignements dispensés dans les formations sous statut scolaire préparant au CAP </w:t>
            </w:r>
          </w:p>
        </w:tc>
        <w:tc>
          <w:tcPr>
            <w:tcW w:w="237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423F7">
            <w:pPr>
              <w:ind w:left="219" w:right="101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C423F7">
        <w:trPr>
          <w:gridAfter w:val="1"/>
          <w:wAfter w:w="302" w:type="dxa"/>
          <w:trHeight w:val="57"/>
        </w:trPr>
        <w:tc>
          <w:tcPr>
            <w:tcW w:w="2836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261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00716" w:rsidRPr="00401CCB" w14:paraId="07196ED3" w14:textId="77777777" w:rsidTr="00C423F7">
        <w:trPr>
          <w:gridAfter w:val="1"/>
          <w:wAfter w:w="302" w:type="dxa"/>
          <w:trHeight w:hRule="exact" w:val="573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261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AF148C" w:rsidRPr="00401CCB" w14:paraId="179E3F19" w14:textId="77777777" w:rsidTr="00C423F7">
        <w:trPr>
          <w:gridAfter w:val="1"/>
          <w:wAfter w:w="302" w:type="dxa"/>
          <w:trHeight w:hRule="exact" w:val="8095"/>
        </w:trPr>
        <w:tc>
          <w:tcPr>
            <w:tcW w:w="2836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AF148C" w:rsidRPr="00401CCB" w:rsidRDefault="00AF148C" w:rsidP="00AF148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7A4935E2" w14:textId="77777777" w:rsidR="00AF148C" w:rsidRPr="00DB6935" w:rsidRDefault="00AF148C" w:rsidP="00AF148C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DB6935">
              <w:rPr>
                <w:rFonts w:ascii="Arial" w:eastAsiaTheme="majorEastAsia" w:hAnsi="Arial" w:cs="Arial"/>
                <w:sz w:val="18"/>
                <w:szCs w:val="18"/>
              </w:rPr>
              <w:t xml:space="preserve">Chaque élève bénéficie d’un temps d’accompagnement qui répond à ses besoins, à ses aspirations et à ses projets. </w:t>
            </w:r>
          </w:p>
          <w:p w14:paraId="0730CD3B" w14:textId="70AE33A7" w:rsidR="00AF148C" w:rsidRPr="00DB6935" w:rsidRDefault="00AF148C" w:rsidP="00AF148C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DB6935">
              <w:rPr>
                <w:rFonts w:ascii="Arial" w:eastAsiaTheme="majorEastAsia" w:hAnsi="Arial" w:cs="Arial"/>
                <w:sz w:val="18"/>
                <w:szCs w:val="18"/>
              </w:rPr>
              <w:t xml:space="preserve">L’accompagnement personnalisé est un volet du dispositif d’accompagnement en classe de CAP. </w:t>
            </w:r>
          </w:p>
          <w:p w14:paraId="5AB86FFF" w14:textId="763E131E" w:rsidR="00AF148C" w:rsidRPr="00660471" w:rsidRDefault="00AF148C" w:rsidP="00AF148C">
            <w:pPr>
              <w:spacing w:afterLines="60" w:after="144"/>
              <w:rPr>
                <w:rFonts w:asciiTheme="minorHAnsi" w:hAnsiTheme="minorHAnsi"/>
                <w:sz w:val="18"/>
                <w:szCs w:val="18"/>
              </w:rPr>
            </w:pPr>
            <w:r w:rsidRPr="00DB6935">
              <w:rPr>
                <w:rFonts w:ascii="Arial" w:eastAsiaTheme="majorEastAsia" w:hAnsi="Arial" w:cs="Arial"/>
                <w:sz w:val="18"/>
                <w:szCs w:val="18"/>
              </w:rPr>
              <w:t>Comment ce volet s’intègre-t-il dans la stratégie globale d’accompagnement du projet professionnel et de la réussite de l’élève ?</w:t>
            </w:r>
          </w:p>
          <w:p w14:paraId="460A99C9" w14:textId="77777777" w:rsidR="00AF148C" w:rsidRPr="00660471" w:rsidRDefault="00AF148C" w:rsidP="00AF148C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AF148C" w:rsidRPr="00660471" w:rsidRDefault="00AF148C" w:rsidP="00AF148C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261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AF148C" w:rsidRPr="00401CCB" w:rsidRDefault="00AF148C" w:rsidP="00C423F7">
            <w:pPr>
              <w:widowControl w:val="0"/>
              <w:tabs>
                <w:tab w:val="left" w:pos="323"/>
              </w:tabs>
              <w:spacing w:before="60" w:after="24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1F251931" w14:textId="77777777" w:rsidR="00AF148C" w:rsidRPr="00DB6935" w:rsidRDefault="00AF148C" w:rsidP="00AF148C">
            <w:pPr>
              <w:widowControl w:val="0"/>
              <w:tabs>
                <w:tab w:val="left" w:pos="323"/>
              </w:tabs>
              <w:spacing w:after="80"/>
              <w:ind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Organisation pédagogique</w:t>
            </w:r>
          </w:p>
          <w:p w14:paraId="55F949B7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 xml:space="preserve">Quel </w:t>
            </w:r>
            <w:r w:rsidRPr="00DB6935">
              <w:rPr>
                <w:rFonts w:ascii="Arial" w:eastAsia="MS Mincho" w:hAnsi="Arial" w:cs="Arial"/>
                <w:sz w:val="18"/>
                <w:szCs w:val="18"/>
              </w:rPr>
              <w:t>est le rôle du conseil pédagogique dans la définition des objectifs et des axes de mise en œuvre de l’accompagnement personnalisé en CAP ? des comptes rendus du conseil pédagogique sont-ils rédigés ?</w:t>
            </w:r>
          </w:p>
          <w:p w14:paraId="10142F4E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 xml:space="preserve">Quels sont les objectifs principaux visés dans le cadre de l’AP ? </w:t>
            </w:r>
          </w:p>
          <w:p w14:paraId="28AC0AF5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>Quel travail collectif est-il prévu pour organiser et suivre l’AP à l’échelle d’une classe, d’une filière, de l’établissemen</w:t>
            </w:r>
            <w:r>
              <w:rPr>
                <w:rFonts w:ascii="Arial" w:eastAsia="MS Mincho" w:hAnsi="Arial" w:cs="Arial"/>
                <w:sz w:val="18"/>
                <w:szCs w:val="18"/>
              </w:rPr>
              <w:t>t</w:t>
            </w:r>
            <w:r w:rsidRPr="00DB6935">
              <w:rPr>
                <w:rFonts w:ascii="Arial" w:eastAsia="MS Mincho" w:hAnsi="Arial" w:cs="Arial"/>
                <w:sz w:val="18"/>
                <w:szCs w:val="18"/>
              </w:rPr>
              <w:t xml:space="preserve"> ?</w:t>
            </w:r>
          </w:p>
          <w:p w14:paraId="5C5D8A9E" w14:textId="7D7AA470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>Comment les besoins des élèves sont-ils évalués</w:t>
            </w:r>
            <w:r>
              <w:rPr>
                <w:rFonts w:ascii="Arial" w:eastAsia="MS Mincho" w:hAnsi="Arial" w:cs="Arial"/>
                <w:sz w:val="18"/>
                <w:szCs w:val="18"/>
              </w:rPr>
              <w:t> </w:t>
            </w:r>
            <w:r w:rsidRPr="00DB6935">
              <w:rPr>
                <w:rFonts w:ascii="Arial" w:eastAsia="MS Mincho" w:hAnsi="Arial" w:cs="Arial"/>
                <w:sz w:val="18"/>
                <w:szCs w:val="18"/>
              </w:rPr>
              <w:t>?</w:t>
            </w:r>
          </w:p>
          <w:p w14:paraId="11B05AAB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>Comment la période d’accueil et d’intégration en lycée professionnel permet-elle de diagnostiquer les besoins des élèves et d’adapter les modules d’accompagnement personnalisé à leurs projets ?</w:t>
            </w:r>
          </w:p>
          <w:p w14:paraId="4A274D77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 xml:space="preserve">En quoi les entretiens et les diverses évaluations diagnostiques mises en place à la rentrée permettent-ils de les affiner ?   </w:t>
            </w:r>
          </w:p>
          <w:p w14:paraId="62E0C07A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>Quelle stratégie d’équipe est-elle choisie pour l’acquisition et l’évaluation des compétences transversales, psychosociales, socio-professionnelles pour les disciplines engagées dans l’AP ?</w:t>
            </w:r>
          </w:p>
          <w:p w14:paraId="78BEDEF0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>Comment est établi le lien avec le Livret Scolaire Unique (LSU) ?</w:t>
            </w:r>
          </w:p>
          <w:p w14:paraId="23394C27" w14:textId="3314E7EB" w:rsidR="00AF148C" w:rsidRPr="00DB6935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DB6935">
              <w:rPr>
                <w:rFonts w:ascii="Arial" w:eastAsia="MS Mincho" w:hAnsi="Arial" w:cs="Arial"/>
                <w:sz w:val="18"/>
                <w:szCs w:val="18"/>
              </w:rPr>
              <w:t>Comment le travail avec les partenaires extérieurs à l’établissement est-il anticipé et organisé ?</w:t>
            </w:r>
          </w:p>
          <w:p w14:paraId="0C0B649D" w14:textId="77777777" w:rsidR="00AF148C" w:rsidRDefault="00AF148C" w:rsidP="00AF148C">
            <w:pPr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</w:p>
          <w:p w14:paraId="2B1074CD" w14:textId="04D5758D" w:rsidR="00AF148C" w:rsidRPr="00125381" w:rsidRDefault="00AF148C" w:rsidP="00AF148C">
            <w:pPr>
              <w:spacing w:after="80"/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</w:pPr>
            <w:r w:rsidRPr="00125381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>Modalités pédagogiques</w:t>
            </w:r>
          </w:p>
          <w:p w14:paraId="015846D5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406D08">
              <w:rPr>
                <w:rFonts w:ascii="Arial" w:eastAsia="MS Mincho" w:hAnsi="Arial" w:cs="Arial"/>
                <w:sz w:val="18"/>
                <w:szCs w:val="18"/>
              </w:rPr>
              <w:t>Comment est organisée la semaine de préparation à la première PFMP ?</w:t>
            </w:r>
          </w:p>
          <w:p w14:paraId="3CC742B7" w14:textId="7C0C5CFD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0" w:hanging="227"/>
              <w:rPr>
                <w:rFonts w:ascii="Arial" w:eastAsia="MS Mincho" w:hAnsi="Arial" w:cs="Arial"/>
                <w:sz w:val="18"/>
                <w:szCs w:val="18"/>
              </w:rPr>
            </w:pPr>
            <w:r w:rsidRPr="00125381">
              <w:rPr>
                <w:rFonts w:ascii="Arial" w:eastAsia="MS Mincho" w:hAnsi="Arial" w:cs="Arial"/>
                <w:sz w:val="18"/>
                <w:szCs w:val="18"/>
              </w:rPr>
              <w:t>En quoi l’accompagnement personnalisé favorise-t-il :</w:t>
            </w:r>
          </w:p>
          <w:p w14:paraId="41D06EEC" w14:textId="77777777" w:rsidR="00AF148C" w:rsidRPr="00746F31" w:rsidRDefault="00AF148C" w:rsidP="00AF148C">
            <w:pPr>
              <w:pStyle w:val="Paragraphedeliste"/>
              <w:widowControl w:val="0"/>
              <w:numPr>
                <w:ilvl w:val="0"/>
                <w:numId w:val="16"/>
              </w:numPr>
              <w:spacing w:line="276" w:lineRule="auto"/>
              <w:ind w:left="739"/>
              <w:rPr>
                <w:rFonts w:ascii="Arial" w:hAnsi="Arial" w:cs="Arial"/>
                <w:sz w:val="18"/>
                <w:szCs w:val="18"/>
              </w:rPr>
            </w:pPr>
            <w:r w:rsidRPr="00746F31">
              <w:rPr>
                <w:rFonts w:ascii="Arial" w:hAnsi="Arial" w:cs="Arial"/>
                <w:sz w:val="18"/>
                <w:szCs w:val="18"/>
              </w:rPr>
              <w:t>l’acquisition des savoirs fondamentaux ;</w:t>
            </w:r>
          </w:p>
          <w:p w14:paraId="743C24E1" w14:textId="77777777" w:rsidR="00AF148C" w:rsidRPr="00746F31" w:rsidRDefault="00AF148C" w:rsidP="00AF148C">
            <w:pPr>
              <w:pStyle w:val="Paragraphedeliste"/>
              <w:widowControl w:val="0"/>
              <w:numPr>
                <w:ilvl w:val="0"/>
                <w:numId w:val="16"/>
              </w:numPr>
              <w:spacing w:line="276" w:lineRule="auto"/>
              <w:ind w:left="739"/>
              <w:rPr>
                <w:rFonts w:ascii="Arial" w:hAnsi="Arial" w:cs="Arial"/>
                <w:sz w:val="18"/>
                <w:szCs w:val="18"/>
              </w:rPr>
            </w:pPr>
            <w:r w:rsidRPr="00746F31">
              <w:rPr>
                <w:rFonts w:ascii="Arial" w:hAnsi="Arial" w:cs="Arial"/>
                <w:sz w:val="18"/>
                <w:szCs w:val="18"/>
              </w:rPr>
              <w:t>le développement des compétences psychosociales ;</w:t>
            </w:r>
          </w:p>
          <w:p w14:paraId="425FC114" w14:textId="77777777" w:rsidR="00AF148C" w:rsidRPr="00746F31" w:rsidRDefault="00AF148C" w:rsidP="00AF148C">
            <w:pPr>
              <w:pStyle w:val="Paragraphedeliste"/>
              <w:widowControl w:val="0"/>
              <w:numPr>
                <w:ilvl w:val="0"/>
                <w:numId w:val="16"/>
              </w:numPr>
              <w:spacing w:line="276" w:lineRule="auto"/>
              <w:ind w:left="739"/>
              <w:rPr>
                <w:rFonts w:ascii="Arial" w:hAnsi="Arial" w:cs="Arial"/>
                <w:sz w:val="18"/>
                <w:szCs w:val="18"/>
              </w:rPr>
            </w:pPr>
            <w:r w:rsidRPr="00746F31">
              <w:rPr>
                <w:rFonts w:ascii="Arial" w:hAnsi="Arial" w:cs="Arial"/>
                <w:sz w:val="18"/>
                <w:szCs w:val="18"/>
              </w:rPr>
              <w:t>la préparation aux examens ;</w:t>
            </w:r>
          </w:p>
          <w:p w14:paraId="6E7EE11F" w14:textId="77777777" w:rsidR="00AF148C" w:rsidRPr="00746F31" w:rsidRDefault="00AF148C" w:rsidP="00AF148C">
            <w:pPr>
              <w:pStyle w:val="Paragraphedeliste"/>
              <w:widowControl w:val="0"/>
              <w:numPr>
                <w:ilvl w:val="0"/>
                <w:numId w:val="16"/>
              </w:numPr>
              <w:spacing w:line="276" w:lineRule="auto"/>
              <w:ind w:left="739"/>
              <w:rPr>
                <w:rFonts w:ascii="Arial" w:hAnsi="Arial" w:cs="Arial"/>
                <w:sz w:val="18"/>
                <w:szCs w:val="18"/>
              </w:rPr>
            </w:pPr>
            <w:r w:rsidRPr="00746F31">
              <w:rPr>
                <w:rFonts w:ascii="Arial" w:hAnsi="Arial" w:cs="Arial"/>
                <w:sz w:val="18"/>
                <w:szCs w:val="18"/>
              </w:rPr>
              <w:t>la mise en œuvre de projets pluridisciplinaires et culturels ;</w:t>
            </w:r>
          </w:p>
          <w:p w14:paraId="77823302" w14:textId="3310D8B1" w:rsidR="00AF148C" w:rsidRPr="00125381" w:rsidRDefault="00AF148C" w:rsidP="00AF148C">
            <w:pPr>
              <w:pStyle w:val="Paragraphedeliste"/>
              <w:widowControl w:val="0"/>
              <w:numPr>
                <w:ilvl w:val="0"/>
                <w:numId w:val="16"/>
              </w:numPr>
              <w:spacing w:line="276" w:lineRule="auto"/>
              <w:ind w:left="739"/>
              <w:rPr>
                <w:rFonts w:ascii="Arial" w:hAnsi="Arial" w:cs="Arial"/>
                <w:sz w:val="18"/>
                <w:szCs w:val="18"/>
              </w:rPr>
            </w:pPr>
            <w:r w:rsidRPr="00746F31">
              <w:rPr>
                <w:rFonts w:ascii="Arial" w:hAnsi="Arial" w:cs="Arial"/>
                <w:sz w:val="18"/>
                <w:szCs w:val="18"/>
              </w:rPr>
              <w:t>la construction d’un projet professionnel ?</w:t>
            </w:r>
          </w:p>
          <w:p w14:paraId="3B7DC961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125381">
              <w:rPr>
                <w:rFonts w:ascii="Arial" w:eastAsia="MS Mincho" w:hAnsi="Arial" w:cs="Arial"/>
                <w:sz w:val="18"/>
                <w:szCs w:val="18"/>
              </w:rPr>
              <w:t>En quoi les contenus proposés dans le cadre de l’AP se distinguent-ils de ceux des enseignements disciplinaires classiques ?</w:t>
            </w:r>
          </w:p>
          <w:p w14:paraId="6D260ECD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F148C">
              <w:rPr>
                <w:rFonts w:ascii="Arial" w:eastAsia="MS Mincho" w:hAnsi="Arial" w:cs="Arial"/>
                <w:sz w:val="18"/>
                <w:szCs w:val="18"/>
              </w:rPr>
              <w:t>Comment les équipes mobilisent-elles les ressources disponibles sur la plateforme Avenir pour accompagner les élèves ?</w:t>
            </w:r>
          </w:p>
          <w:p w14:paraId="7CCF93D9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F148C">
              <w:rPr>
                <w:rFonts w:ascii="Arial" w:eastAsia="MS Mincho" w:hAnsi="Arial" w:cs="Arial"/>
                <w:sz w:val="18"/>
                <w:szCs w:val="18"/>
              </w:rPr>
              <w:t xml:space="preserve">En quoi les actions engagées permettent-elles à l’élève de gagner en autonomie dans son travail personnel ? </w:t>
            </w:r>
          </w:p>
          <w:p w14:paraId="6C0B02E3" w14:textId="77777777" w:rsid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F148C">
              <w:rPr>
                <w:rFonts w:ascii="Arial" w:eastAsia="MS Mincho" w:hAnsi="Arial" w:cs="Arial"/>
                <w:sz w:val="18"/>
                <w:szCs w:val="18"/>
              </w:rPr>
              <w:t>En cas de dispositifs d’aide au travail personnel mis en œuvre en dehors de la classe, quelle est la complémentarité ? Comment la cohérence pédagogique est-elle assurée ?</w:t>
            </w:r>
          </w:p>
          <w:p w14:paraId="7F0FBD3B" w14:textId="7A74C087" w:rsidR="00AF148C" w:rsidRPr="00AF148C" w:rsidRDefault="00AF148C" w:rsidP="00AF148C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AF148C">
              <w:rPr>
                <w:rFonts w:ascii="Arial" w:eastAsia="MS Mincho" w:hAnsi="Arial" w:cs="Arial"/>
                <w:sz w:val="18"/>
                <w:szCs w:val="18"/>
              </w:rPr>
              <w:t>Comment les progrès et l’implication des élèves dans ces dispositifs sont-ils reconnus et valorisés ?</w:t>
            </w:r>
          </w:p>
          <w:p w14:paraId="7A6FC8F5" w14:textId="77777777" w:rsidR="00AF148C" w:rsidRDefault="00AF148C" w:rsidP="00AF148C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CE2AFA0" w14:textId="77777777" w:rsidR="00AF148C" w:rsidRPr="00935DEE" w:rsidRDefault="00AF148C" w:rsidP="00AF148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684D5E8" w14:textId="77777777" w:rsidR="00AF148C" w:rsidRDefault="00AF148C" w:rsidP="00AF148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6F97E75" w14:textId="77777777" w:rsidR="00AF148C" w:rsidRPr="00935DEE" w:rsidRDefault="00AF148C" w:rsidP="00AF148C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56D56CA" w14:textId="5592DF68" w:rsidR="00AF148C" w:rsidRPr="00935DEE" w:rsidRDefault="00AF148C" w:rsidP="00AF148C">
            <w:pPr>
              <w:tabs>
                <w:tab w:val="left" w:pos="2595"/>
              </w:tabs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AF148C" w:rsidRPr="00401CCB" w:rsidRDefault="00AF148C" w:rsidP="00AF148C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401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C5CA21A" w14:textId="13E791D2" w:rsidR="00AF148C" w:rsidRPr="00C423F7" w:rsidRDefault="00AF148C" w:rsidP="00C423F7">
            <w:pPr>
              <w:spacing w:before="60" w:after="120"/>
              <w:ind w:left="79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Exemples</w:t>
            </w:r>
            <w:r w:rsidR="00C423F7">
              <w:rPr>
                <w:rFonts w:ascii="Arial" w:hAnsi="Arial" w:cs="Arial"/>
                <w:b/>
                <w:color w:val="EE7444"/>
              </w:rPr>
              <w:t xml:space="preserve"> d’outils et</w:t>
            </w:r>
            <w:r w:rsidRPr="00401CCB">
              <w:rPr>
                <w:rFonts w:ascii="Arial" w:hAnsi="Arial" w:cs="Arial"/>
                <w:b/>
                <w:color w:val="EE7444"/>
              </w:rPr>
              <w:t xml:space="preserve"> d’indicateurs 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05370A18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Plan(s), tableau(x) de bord (organisation AP)</w:t>
            </w:r>
          </w:p>
          <w:p w14:paraId="2B8AE13C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Outils de positionnement et de suivi (relevé de compétences, portfolio, ‘webclasseur‘…)</w:t>
            </w:r>
          </w:p>
          <w:p w14:paraId="09EF7C37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Fiche(s) action(s) présentant les objectifs visés et les besoins identifiés des élèves</w:t>
            </w:r>
          </w:p>
          <w:p w14:paraId="437CED0C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Enquêtes élèves, entretiens</w:t>
            </w:r>
          </w:p>
          <w:p w14:paraId="2A9EBF80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Formalisation d’indicateurs pédagogiques permettant d’évaluer le réinvestissement des séances d’AP dans différents cours</w:t>
            </w:r>
          </w:p>
          <w:p w14:paraId="272558AF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Stratégies de communication et de valorisation</w:t>
            </w:r>
          </w:p>
          <w:p w14:paraId="5EC7FA7A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8E11068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Implication de l’élève dans son travail personnel</w:t>
            </w:r>
          </w:p>
          <w:p w14:paraId="2D3F49D0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Indicateurs d’assiduité</w:t>
            </w:r>
          </w:p>
          <w:p w14:paraId="6FFF76D8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Indicateurs de réussite scolaire</w:t>
            </w:r>
          </w:p>
          <w:p w14:paraId="367F24D8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Nombre et nature des actions conduites au titre de l’AP (travail sur les savoirs fondamentaux, les CPS, l’autonomie, projets et d’actions à caractère pluridisciplinaire, culturel et ouvert à l’international…)</w:t>
            </w:r>
          </w:p>
          <w:p w14:paraId="46B54D5B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 xml:space="preserve">Proportion des enseignants impliqués dans l’AP. </w:t>
            </w:r>
          </w:p>
          <w:p w14:paraId="496DE2AF" w14:textId="34658290" w:rsidR="00AF148C" w:rsidRPr="00401CCB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Nombre et fréquence des réunions de concertation</w:t>
            </w:r>
          </w:p>
        </w:tc>
      </w:tr>
    </w:tbl>
    <w:p w14:paraId="3DE7EA64" w14:textId="77777777" w:rsidR="00DB56D0" w:rsidRDefault="00DB56D0" w:rsidP="00DB56D0"/>
    <w:tbl>
      <w:tblPr>
        <w:tblStyle w:val="Grilledutableau2"/>
        <w:tblW w:w="16018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8928"/>
        <w:gridCol w:w="237"/>
        <w:gridCol w:w="2882"/>
        <w:gridCol w:w="568"/>
      </w:tblGrid>
      <w:tr w:rsidR="00300716" w:rsidRPr="00935DEE" w14:paraId="5D6B2049" w14:textId="77777777" w:rsidTr="00C423F7">
        <w:trPr>
          <w:gridAfter w:val="1"/>
          <w:wAfter w:w="568" w:type="dxa"/>
          <w:trHeight w:hRule="exact" w:val="901"/>
        </w:trPr>
        <w:tc>
          <w:tcPr>
            <w:tcW w:w="12332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1A1EF488" w14:textId="40BAD5E0" w:rsidR="00CC3322" w:rsidRPr="006D1CF6" w:rsidRDefault="00CC3322" w:rsidP="00CC3322">
            <w:pPr>
              <w:pStyle w:val="Titre2"/>
              <w:numPr>
                <w:ilvl w:val="0"/>
                <w:numId w:val="0"/>
              </w:numPr>
              <w:spacing w:before="120" w:after="4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lastRenderedPageBreak/>
              <w:t>1.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16</w:t>
            </w:r>
            <w:r w:rsidRPr="006D1CF6">
              <w:rPr>
                <w:rFonts w:ascii="Arial" w:hAnsi="Arial" w:cs="Arial"/>
                <w:sz w:val="30"/>
                <w:szCs w:val="30"/>
                <w:lang w:val="fr-FR"/>
              </w:rPr>
              <w:t xml:space="preserve"> </w:t>
            </w:r>
            <w:r w:rsidRPr="00B0469A">
              <w:rPr>
                <w:rFonts w:ascii="Arial" w:hAnsi="Arial" w:cs="Arial"/>
                <w:sz w:val="30"/>
                <w:szCs w:val="30"/>
                <w:lang w:val="fr-FR"/>
              </w:rPr>
              <w:t xml:space="preserve">Mettre en œuvre l’accompagnement personnalisé (CAP) 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(</w:t>
            </w:r>
            <w:r w:rsidR="00537B51">
              <w:rPr>
                <w:rFonts w:ascii="Arial" w:hAnsi="Arial" w:cs="Arial"/>
                <w:sz w:val="30"/>
                <w:szCs w:val="30"/>
                <w:lang w:val="fr-FR"/>
              </w:rPr>
              <w:t>2</w:t>
            </w:r>
            <w:r>
              <w:rPr>
                <w:rFonts w:ascii="Arial" w:hAnsi="Arial" w:cs="Arial"/>
                <w:sz w:val="30"/>
                <w:szCs w:val="30"/>
                <w:lang w:val="fr-FR"/>
              </w:rPr>
              <w:t>/2)</w:t>
            </w:r>
          </w:p>
          <w:p w14:paraId="5279AB39" w14:textId="3097C52C" w:rsidR="00300716" w:rsidRPr="00300716" w:rsidRDefault="00CC3322" w:rsidP="00CC3322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Code de l’éducation : articles </w:t>
            </w:r>
            <w:hyperlink r:id="rId12" w:history="1">
              <w:r w:rsidRPr="00CC3322">
                <w:rPr>
                  <w:rStyle w:val="Lienhypertexte"/>
                  <w:rFonts w:ascii="Arial" w:hAnsi="Arial" w:cs="Arial"/>
                  <w:sz w:val="14"/>
                  <w:szCs w:val="14"/>
                </w:rPr>
                <w:t>D333-2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 xml:space="preserve"> et </w:t>
            </w:r>
            <w:hyperlink r:id="rId13" w:history="1">
              <w:r w:rsidRPr="00CC3322">
                <w:rPr>
                  <w:rStyle w:val="Lienhypertexte"/>
                  <w:rFonts w:ascii="Arial" w:hAnsi="Arial" w:cs="Arial"/>
                  <w:sz w:val="14"/>
                  <w:szCs w:val="14"/>
                </w:rPr>
                <w:t>D333-16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>.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746F31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hyperlink r:id="rId14" w:history="1">
              <w:r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Arrêté du 21-11-2018 modifié</w:t>
              </w:r>
            </w:hyperlink>
            <w:r>
              <w:rPr>
                <w:rFonts w:ascii="Arial" w:hAnsi="Arial" w:cs="Arial"/>
                <w:bCs/>
                <w:sz w:val="14"/>
                <w:szCs w:val="14"/>
              </w:rPr>
              <w:t xml:space="preserve">, </w:t>
            </w:r>
            <w:r w:rsidRPr="00746F31">
              <w:rPr>
                <w:rFonts w:ascii="Arial" w:hAnsi="Arial" w:cs="Arial"/>
                <w:sz w:val="14"/>
                <w:szCs w:val="14"/>
              </w:rPr>
              <w:t>relatif à l’organisation et aux enseignements dispensés dans les formations sous statut scolaire préparant au CAP </w:t>
            </w:r>
          </w:p>
        </w:tc>
        <w:tc>
          <w:tcPr>
            <w:tcW w:w="236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20AA93A8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F67BA" w14:textId="77777777" w:rsidR="00300716" w:rsidRPr="00935DEE" w:rsidRDefault="00300716" w:rsidP="00C423F7">
            <w:pPr>
              <w:ind w:left="363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935DEE">
              <w:rPr>
                <w:noProof/>
                <w:lang w:eastAsia="fr-FR"/>
              </w:rPr>
              <w:drawing>
                <wp:inline distT="0" distB="0" distL="0" distR="0" wp14:anchorId="673C0522" wp14:editId="049DE07E">
                  <wp:extent cx="1438275" cy="571502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716" w:rsidRPr="00935DEE" w14:paraId="048F3E6A" w14:textId="77777777" w:rsidTr="00C423F7">
        <w:trPr>
          <w:trHeight w:val="57"/>
        </w:trPr>
        <w:tc>
          <w:tcPr>
            <w:tcW w:w="3119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71C288ED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BE854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929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6DCBEA7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C1DE" w14:textId="77777777" w:rsidR="00300716" w:rsidRPr="00935DEE" w:rsidRDefault="00300716" w:rsidP="00A952ED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449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3F3C3A24" w14:textId="77777777" w:rsidR="00300716" w:rsidRPr="00935DEE" w:rsidRDefault="00300716" w:rsidP="00A952ED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300716" w:rsidRPr="00935DEE" w14:paraId="1CA2790C" w14:textId="77777777" w:rsidTr="00C423F7">
        <w:trPr>
          <w:trHeight w:hRule="exact" w:val="573"/>
        </w:trPr>
        <w:tc>
          <w:tcPr>
            <w:tcW w:w="311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65A18FE" w14:textId="77777777" w:rsidR="00300716" w:rsidRPr="00935DEE" w:rsidRDefault="00300716" w:rsidP="00A952ED">
            <w:pPr>
              <w:ind w:right="-108"/>
              <w:rPr>
                <w:rFonts w:ascii="Arial" w:hAnsi="Arial" w:cs="Arial"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935DEE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97D6964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892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6B41061B" w14:textId="77777777" w:rsidR="00300716" w:rsidRPr="00935DEE" w:rsidRDefault="00300716" w:rsidP="00A952ED">
            <w:pPr>
              <w:rPr>
                <w:rFonts w:ascii="Arial" w:hAnsi="Arial" w:cs="Arial"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935DEE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935DEE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38941F6A" w14:textId="77777777" w:rsidR="00300716" w:rsidRPr="00935DEE" w:rsidRDefault="00300716" w:rsidP="00A952E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449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2585E4AD" w14:textId="77777777" w:rsidR="00300716" w:rsidRPr="00935DEE" w:rsidRDefault="00300716" w:rsidP="00A952ED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935DEE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Pr="00935DEE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300716" w:rsidRPr="00935DEE" w14:paraId="2D59C089" w14:textId="77777777" w:rsidTr="00C423F7">
        <w:trPr>
          <w:trHeight w:hRule="exact" w:val="8082"/>
        </w:trPr>
        <w:tc>
          <w:tcPr>
            <w:tcW w:w="3119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200A7DAE" w14:textId="77777777" w:rsidR="00300716" w:rsidRPr="00935DEE" w:rsidRDefault="00300716" w:rsidP="00A952ED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935DEE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5703E90D" w14:textId="77777777" w:rsidR="00C423F7" w:rsidRPr="00C423F7" w:rsidRDefault="00C423F7" w:rsidP="00C423F7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C423F7">
              <w:rPr>
                <w:rFonts w:ascii="Arial" w:eastAsiaTheme="majorEastAsia" w:hAnsi="Arial" w:cs="Arial"/>
                <w:sz w:val="18"/>
                <w:szCs w:val="18"/>
              </w:rPr>
              <w:t xml:space="preserve">Chaque élève bénéficie d’un temps d’accompagnement qui répond à ses besoins, à ses aspirations et à ses projets. </w:t>
            </w:r>
          </w:p>
          <w:p w14:paraId="4C10784E" w14:textId="77777777" w:rsidR="00C423F7" w:rsidRPr="00C423F7" w:rsidRDefault="00C423F7" w:rsidP="00C423F7">
            <w:pPr>
              <w:keepNext/>
              <w:keepLines/>
              <w:spacing w:after="120"/>
              <w:ind w:left="23"/>
              <w:outlineLvl w:val="0"/>
              <w:rPr>
                <w:rFonts w:ascii="Arial" w:eastAsiaTheme="majorEastAsia" w:hAnsi="Arial" w:cs="Arial"/>
                <w:sz w:val="18"/>
                <w:szCs w:val="18"/>
              </w:rPr>
            </w:pPr>
            <w:r w:rsidRPr="00C423F7">
              <w:rPr>
                <w:rFonts w:ascii="Arial" w:eastAsiaTheme="majorEastAsia" w:hAnsi="Arial" w:cs="Arial"/>
                <w:sz w:val="18"/>
                <w:szCs w:val="18"/>
              </w:rPr>
              <w:t xml:space="preserve">L’accompagnement personnalisé est un volet du dispositif d’accompagnement en classe de CAP. </w:t>
            </w:r>
          </w:p>
          <w:p w14:paraId="4287C33E" w14:textId="2EE42759" w:rsidR="00300716" w:rsidRPr="00935DEE" w:rsidRDefault="00C423F7" w:rsidP="00C423F7">
            <w:pPr>
              <w:rPr>
                <w:rFonts w:asciiTheme="minorHAnsi" w:hAnsiTheme="minorHAnsi"/>
                <w:sz w:val="18"/>
                <w:szCs w:val="18"/>
              </w:rPr>
            </w:pPr>
            <w:r w:rsidRPr="00C423F7">
              <w:rPr>
                <w:rFonts w:ascii="Arial" w:eastAsiaTheme="majorEastAsia" w:hAnsi="Arial" w:cs="Arial"/>
                <w:sz w:val="18"/>
                <w:szCs w:val="18"/>
              </w:rPr>
              <w:t>Comment ce volet s’intègre-t-il dans la stratégie globale d’accompagnement du projet professionnel et de la réussite de l’élève ?</w:t>
            </w:r>
          </w:p>
          <w:p w14:paraId="6D59EBC6" w14:textId="77777777" w:rsidR="00300716" w:rsidRPr="00935DEE" w:rsidRDefault="00300716" w:rsidP="00A952ED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DB70B5C" w14:textId="77777777" w:rsidR="00300716" w:rsidRPr="00935DEE" w:rsidRDefault="00300716" w:rsidP="00A952ED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 w:rsidRPr="00935DEE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84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623B88C9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929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20FB61FC" w14:textId="77777777" w:rsidR="00300716" w:rsidRPr="00935DEE" w:rsidRDefault="00300716" w:rsidP="00C423F7">
            <w:pPr>
              <w:widowControl w:val="0"/>
              <w:tabs>
                <w:tab w:val="left" w:pos="323"/>
              </w:tabs>
              <w:spacing w:before="60" w:after="24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935DEE">
              <w:rPr>
                <w:rFonts w:ascii="Arial" w:hAnsi="Arial" w:cs="Arial"/>
                <w:b/>
                <w:color w:val="2AAC66"/>
              </w:rPr>
              <w:t>Acteurs – Actions – Moyens – Temps</w:t>
            </w:r>
          </w:p>
          <w:p w14:paraId="55CE49DC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120"/>
              <w:ind w:right="170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b/>
                <w:color w:val="00B050"/>
                <w:sz w:val="18"/>
                <w:szCs w:val="18"/>
              </w:rPr>
              <w:t xml:space="preserve">Suivi et évaluation </w:t>
            </w:r>
          </w:p>
          <w:p w14:paraId="450F4427" w14:textId="77777777" w:rsid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Comment est organisé le suivi des élèves ?  À l’aide de quels outils (portfolio de compétences…) ?  Avec quelle(s) stratégie(s) ?</w:t>
            </w:r>
          </w:p>
          <w:p w14:paraId="2EDA6E32" w14:textId="77777777" w:rsid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Quelle régulation intervient en cours d’année ? À quelle échelle (classe, filière, établissement…) ? Quels sont les acteurs et instances impliqués ?</w:t>
            </w:r>
          </w:p>
          <w:p w14:paraId="168A5FB5" w14:textId="77777777" w:rsid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Des positionnements et des bilans d’étape au cours de l’année sont-ils programmés / envisagés ? Les points forts de l’élève sont-ils pris en compte ? Comment ?</w:t>
            </w:r>
          </w:p>
          <w:p w14:paraId="63BC1248" w14:textId="77777777" w:rsid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Un échéancier, des indicateurs cibles, des bilans d’étapes sont-ils prévus ?</w:t>
            </w:r>
          </w:p>
          <w:p w14:paraId="081AD9FC" w14:textId="77777777" w:rsid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Les indicateurs et résultats des actions sont-ils publiés et connus de tous ?</w:t>
            </w:r>
          </w:p>
          <w:p w14:paraId="28AB1CA2" w14:textId="77777777" w:rsid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Le volet « accompagnement personnalisé » fait-il l’objet d’une ou plusieurs enquêtes de satisfaction auprès des élèves, des parents, des équipes mobilisées ?</w:t>
            </w:r>
          </w:p>
          <w:p w14:paraId="3647492E" w14:textId="77777777" w:rsid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Comment est organisée la communication autour de la question de l’accompagnement ? A l’aide de quels outils ?</w:t>
            </w:r>
          </w:p>
          <w:p w14:paraId="0142C353" w14:textId="600EE3D5" w:rsidR="00C423F7" w:rsidRPr="00C423F7" w:rsidRDefault="00C423F7" w:rsidP="00C423F7">
            <w:pPr>
              <w:widowControl w:val="0"/>
              <w:numPr>
                <w:ilvl w:val="0"/>
                <w:numId w:val="3"/>
              </w:numPr>
              <w:tabs>
                <w:tab w:val="left" w:pos="323"/>
              </w:tabs>
              <w:ind w:left="318" w:right="172" w:hanging="228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Des actions pédagogiques remarquables, innovantes, inspirantes font-elles l’objet d’une valorisation spécifique en établissement, sur son site web, sur un site académique ?</w:t>
            </w:r>
          </w:p>
          <w:p w14:paraId="6DE37BF8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ind w:left="90" w:right="172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1155A95" w14:textId="77777777" w:rsidR="00300716" w:rsidRPr="00935DEE" w:rsidRDefault="00300716" w:rsidP="00A952ED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6B40E9AB" w14:textId="77777777" w:rsidR="00300716" w:rsidRPr="00935DEE" w:rsidRDefault="00300716" w:rsidP="00A952ED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4513E0E" w14:textId="77777777" w:rsidR="00300716" w:rsidRPr="00935DEE" w:rsidRDefault="00300716" w:rsidP="00A952ED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2BC67F85" w14:textId="77777777" w:rsidR="00300716" w:rsidRPr="00935DEE" w:rsidRDefault="00300716" w:rsidP="00A952ED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449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7DF7DE55" w14:textId="0AC46E16" w:rsidR="00300716" w:rsidRPr="00C423F7" w:rsidRDefault="00300716" w:rsidP="00C423F7">
            <w:pPr>
              <w:spacing w:before="60" w:after="120"/>
              <w:ind w:left="79"/>
              <w:rPr>
                <w:rFonts w:ascii="Arial" w:hAnsi="Arial" w:cs="Arial"/>
                <w:b/>
                <w:color w:val="EE7444"/>
              </w:rPr>
            </w:pPr>
            <w:r w:rsidRPr="00935DEE">
              <w:rPr>
                <w:rFonts w:ascii="Arial" w:hAnsi="Arial" w:cs="Arial"/>
                <w:b/>
                <w:color w:val="EE7444"/>
              </w:rPr>
              <w:t>Exemples</w:t>
            </w:r>
            <w:r w:rsidR="00C423F7">
              <w:rPr>
                <w:rFonts w:ascii="Arial" w:hAnsi="Arial" w:cs="Arial"/>
                <w:b/>
                <w:color w:val="EE7444"/>
              </w:rPr>
              <w:t xml:space="preserve"> d’outils et</w:t>
            </w:r>
            <w:r w:rsidRPr="00935DEE">
              <w:rPr>
                <w:rFonts w:ascii="Arial" w:hAnsi="Arial" w:cs="Arial"/>
                <w:b/>
                <w:color w:val="EE7444"/>
              </w:rPr>
              <w:t xml:space="preserve"> d’indicateurs de suivi</w:t>
            </w:r>
            <w:r w:rsidRPr="00935DEE">
              <w:rPr>
                <w:rFonts w:ascii="Arial" w:hAnsi="Arial" w:cs="Arial"/>
                <w:color w:val="EE7444"/>
              </w:rPr>
              <w:t xml:space="preserve"> </w:t>
            </w:r>
          </w:p>
          <w:p w14:paraId="66A06DED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Plan(s), tableau(x) de bord (organisation AP)</w:t>
            </w:r>
          </w:p>
          <w:p w14:paraId="33A5FF41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Outils de positionnement et de suivi (relevé de compétences, portfolio, ‘webclasseur‘…)</w:t>
            </w:r>
          </w:p>
          <w:p w14:paraId="023E3882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Fiche(s) action(s) présentant les objectifs visés et les besoins identifiés des élèves</w:t>
            </w:r>
          </w:p>
          <w:p w14:paraId="280A892D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Enquêtes élèves, entretiens</w:t>
            </w:r>
          </w:p>
          <w:p w14:paraId="373D54CC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Formalisation d’indicateurs pédagogiques permettant d’évaluer le réinvestissement des séances d’AP dans différents cours</w:t>
            </w:r>
          </w:p>
          <w:p w14:paraId="46EAF199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Stratégies de communication et de valorisation</w:t>
            </w:r>
          </w:p>
          <w:p w14:paraId="3E434C1B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6CB7343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Implication de l’élève dans son travail personnel</w:t>
            </w:r>
          </w:p>
          <w:p w14:paraId="3611A7CF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Indicateurs d’assiduité</w:t>
            </w:r>
          </w:p>
          <w:p w14:paraId="5E5F7B33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Indicateurs de réussite scolaire</w:t>
            </w:r>
          </w:p>
          <w:p w14:paraId="10064CEA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Nombre et nature des actions conduites au titre de l’AP (travail sur les savoirs fondamentaux, les CPS, l’autonomie, projets et d’actions à caractère pluridisciplinaire, culturel et ouvert à l’international…)</w:t>
            </w:r>
          </w:p>
          <w:p w14:paraId="5CC16A5F" w14:textId="77777777" w:rsidR="00C423F7" w:rsidRPr="00C423F7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 xml:space="preserve">Proportion des enseignants impliqués dans l’AP. </w:t>
            </w:r>
          </w:p>
          <w:p w14:paraId="25CC655F" w14:textId="031AB5A7" w:rsidR="00300716" w:rsidRPr="00935DEE" w:rsidRDefault="00C423F7" w:rsidP="00C423F7">
            <w:pPr>
              <w:widowControl w:val="0"/>
              <w:tabs>
                <w:tab w:val="left" w:pos="323"/>
              </w:tabs>
              <w:spacing w:after="60"/>
              <w:ind w:left="91"/>
              <w:rPr>
                <w:rFonts w:ascii="Arial" w:eastAsia="MS Mincho" w:hAnsi="Arial" w:cs="Arial"/>
                <w:sz w:val="18"/>
                <w:szCs w:val="18"/>
              </w:rPr>
            </w:pPr>
            <w:r w:rsidRPr="00C423F7">
              <w:rPr>
                <w:rFonts w:ascii="Arial" w:eastAsia="MS Mincho" w:hAnsi="Arial" w:cs="Arial"/>
                <w:sz w:val="18"/>
                <w:szCs w:val="18"/>
              </w:rPr>
              <w:t>Nombre et fréquence des réunions de concertation</w:t>
            </w:r>
          </w:p>
        </w:tc>
      </w:tr>
    </w:tbl>
    <w:p w14:paraId="51D33BC2" w14:textId="77777777" w:rsidR="00935DEE" w:rsidRPr="00935DEE" w:rsidRDefault="00935DEE" w:rsidP="00935DEE">
      <w:pPr>
        <w:sectPr w:rsidR="00935DEE" w:rsidRPr="00935DEE" w:rsidSect="00300716">
          <w:footerReference w:type="default" r:id="rId15"/>
          <w:pgSz w:w="16838" w:h="11906" w:orient="landscape"/>
          <w:pgMar w:top="471" w:right="1387" w:bottom="1" w:left="1134" w:header="142" w:footer="343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7D10F970">
              <wp:simplePos x="0" y="0"/>
              <wp:positionH relativeFrom="column">
                <wp:posOffset>1146810</wp:posOffset>
              </wp:positionH>
              <wp:positionV relativeFrom="paragraph">
                <wp:posOffset>-76200</wp:posOffset>
              </wp:positionV>
              <wp:extent cx="2231136" cy="819150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6C35C27B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Contributeurs :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a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cadémies d’Aix-Marseille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Grenoble,</w:t>
                          </w:r>
                          <w:r w:rsidR="00CC3322" w:rsidRP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Limoges</w:t>
                          </w:r>
                          <w:r w:rsidR="00CC332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. 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 – Bureau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90.3pt;margin-top:-6pt;width:175.7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qmdQIAAGUFAAAOAAAAZHJzL2Uyb0RvYy54bWysVEtP3DAQvlfqf7B8L9ksj8KKLNqCqCoh&#10;QIWKs9exWauOx7VnN9n+esZO9lHKhaqXZOz55vV5Zs4vusaylQrRgKt4eTDiTDkJtXHPFf/xeP3p&#10;lLOIwtXCglMVX6vIL6YfP5y3fqLGsABbq8DIiYuT1ld8gegnRRHlQjUiHoBXjpQaQiOQjuG5qINo&#10;yXtji/FodFK0EGofQKoY6faqV/Jp9q+1knindVTIbMUpN8zfkL/z9C2m52LyHIRfGDmkIf4hi0YY&#10;R0G3rq4ECrYM5i9XjZEBImg8kNAUoLWRKtdA1ZSjV9U8LIRXuRYiJ/otTfH/uZW3qwd/Hxh2X6Cj&#10;B0yEtD5OIl2mejodmvSnTBnpicL1ljbVIZN0OR4fluXhCWeSdKflWXmceS121j5E/KqgYUmoeKBn&#10;yWyJ1U1EikjQDSQFi2BNfW2szYfUCurSBrYS9IgWc45k8QfKOtZW/OSQQicjB8m892xdulG5GYZw&#10;uwqzhGurEsa670ozU+dC34gtpFRuGz+jE0pTqPcYDvhdVu8x7usgixwZHG6NG+Mg5Orz9Owoq39u&#10;KNM9ngjfqzuJ2M274eXnUK+pIQL0sxK9vDb0ajci4r0INBzUAzTweEcfbYFYh0HibAHh91v3CU89&#10;S1rOWhq2isdfSxEUZ/abo24+K4+O0nTmw9Hx5zEdwr5mvq9xy+YSqBVKWi1eZjHh0W5EHaB5or0w&#10;S1FJJZyk2BXHjXiJ/QqgvSLVbJZBNI9e4I178DK5TvSmnnzsnkTwQ+MitfwtbMZSTF71b49Nlg5m&#10;SwRtcnMngntWB+JplnPPD3snLYv9c0bttuP0BQAA//8DAFBLAwQUAAYACAAAACEAOy8sY+EAAAAL&#10;AQAADwAAAGRycy9kb3ducmV2LnhtbEyPS0/DMBCE70j8B2uRuKDWSaM+FOJUCPGQuLWBVtzceEki&#10;4nUUu0n492xPcNvRfJqdybaTbcWAvW8cKYjnEQik0pmGKgXvxfNsA8IHTUa3jlDBD3rY5tdXmU6N&#10;G2mHwz5UgkPIp1pBHUKXSunLGq32c9chsffleqsDy76Sptcjh9tWLqJoJa1uiD/UusPHGsvv/dkq&#10;+Lyrjm9+evkYk2XSPb0OxfpgCqVub6aHexABp/AHw6U+V4ecO53cmYwXLetNtGJUwSxe8Cgmlsnl&#10;OLEVryOQeSb/b8h/AQAA//8DAFBLAQItABQABgAIAAAAIQC2gziS/gAAAOEBAAATAAAAAAAAAAAA&#10;AAAAAAAAAABbQ29udGVudF9UeXBlc10ueG1sUEsBAi0AFAAGAAgAAAAhADj9If/WAAAAlAEAAAsA&#10;AAAAAAAAAAAAAAAALwEAAF9yZWxzLy5yZWxzUEsBAi0AFAAGAAgAAAAhABdA+qZ1AgAAZQUAAA4A&#10;AAAAAAAAAAAAAAAALgIAAGRycy9lMm9Eb2MueG1sUEsBAi0AFAAGAAgAAAAhADsvLGPhAAAACwEA&#10;AA8AAAAAAAAAAAAAAAAAzwQAAGRycy9kb3ducmV2LnhtbFBLBQYAAAAABAAEAPMAAADdBQAAAAA=&#10;" fillcolor="white [3201]" stroked="f" strokeweight=".5pt">
              <v:textbox>
                <w:txbxContent>
                  <w:p w14:paraId="2F782134" w14:textId="6C35C27B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Contributeurs :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a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cadémies d’Aix-Marseille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Grenoble,</w:t>
                    </w:r>
                    <w:r w:rsidR="00CC3322" w:rsidRP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Limoges</w:t>
                    </w:r>
                    <w:r w:rsidR="00CC332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. 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 – Bureau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2AE05CCD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CC3322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2AE05CCD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CC3322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C4635"/>
    <w:multiLevelType w:val="hybridMultilevel"/>
    <w:tmpl w:val="4B86CE48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F813C1"/>
    <w:multiLevelType w:val="hybridMultilevel"/>
    <w:tmpl w:val="F8B4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1080F"/>
    <w:multiLevelType w:val="hybridMultilevel"/>
    <w:tmpl w:val="AB88EB10"/>
    <w:lvl w:ilvl="0" w:tplc="278CA8C4">
      <w:numFmt w:val="bullet"/>
      <w:lvlText w:val="-"/>
      <w:lvlJc w:val="left"/>
      <w:pPr>
        <w:ind w:left="115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9"/>
  </w:num>
  <w:num w:numId="2" w16cid:durableId="1496527722">
    <w:abstractNumId w:val="0"/>
  </w:num>
  <w:num w:numId="3" w16cid:durableId="1942570898">
    <w:abstractNumId w:val="7"/>
  </w:num>
  <w:num w:numId="4" w16cid:durableId="8222907">
    <w:abstractNumId w:val="14"/>
  </w:num>
  <w:num w:numId="5" w16cid:durableId="2008701794">
    <w:abstractNumId w:val="8"/>
  </w:num>
  <w:num w:numId="6" w16cid:durableId="514928024">
    <w:abstractNumId w:val="5"/>
  </w:num>
  <w:num w:numId="7" w16cid:durableId="369577301">
    <w:abstractNumId w:val="15"/>
  </w:num>
  <w:num w:numId="8" w16cid:durableId="1352150428">
    <w:abstractNumId w:val="13"/>
  </w:num>
  <w:num w:numId="9" w16cid:durableId="610284317">
    <w:abstractNumId w:val="4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12"/>
  </w:num>
  <w:num w:numId="13" w16cid:durableId="1464075894">
    <w:abstractNumId w:val="3"/>
  </w:num>
  <w:num w:numId="14" w16cid:durableId="2134472529">
    <w:abstractNumId w:val="6"/>
  </w:num>
  <w:num w:numId="15" w16cid:durableId="2110660618">
    <w:abstractNumId w:val="10"/>
  </w:num>
  <w:num w:numId="16" w16cid:durableId="977804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818C2"/>
    <w:rsid w:val="000850E8"/>
    <w:rsid w:val="000A1EDB"/>
    <w:rsid w:val="000A5A91"/>
    <w:rsid w:val="000A6FED"/>
    <w:rsid w:val="000C032B"/>
    <w:rsid w:val="000D1AEE"/>
    <w:rsid w:val="000F4D07"/>
    <w:rsid w:val="00125381"/>
    <w:rsid w:val="0012632A"/>
    <w:rsid w:val="00127EA9"/>
    <w:rsid w:val="0013428E"/>
    <w:rsid w:val="001407FA"/>
    <w:rsid w:val="00142F5B"/>
    <w:rsid w:val="00167567"/>
    <w:rsid w:val="001777F0"/>
    <w:rsid w:val="001A4A6A"/>
    <w:rsid w:val="001B37E2"/>
    <w:rsid w:val="001E1709"/>
    <w:rsid w:val="00224C3B"/>
    <w:rsid w:val="00246FD9"/>
    <w:rsid w:val="002515C9"/>
    <w:rsid w:val="002838D7"/>
    <w:rsid w:val="00286C64"/>
    <w:rsid w:val="00287D65"/>
    <w:rsid w:val="002A5DE8"/>
    <w:rsid w:val="002B1FB6"/>
    <w:rsid w:val="00300716"/>
    <w:rsid w:val="00300E11"/>
    <w:rsid w:val="003426AD"/>
    <w:rsid w:val="0038331F"/>
    <w:rsid w:val="003B2904"/>
    <w:rsid w:val="003F19AB"/>
    <w:rsid w:val="00401CCB"/>
    <w:rsid w:val="00406D08"/>
    <w:rsid w:val="00436D64"/>
    <w:rsid w:val="00464261"/>
    <w:rsid w:val="00484223"/>
    <w:rsid w:val="004B62D6"/>
    <w:rsid w:val="004B73D9"/>
    <w:rsid w:val="004C2671"/>
    <w:rsid w:val="004C5166"/>
    <w:rsid w:val="004D6944"/>
    <w:rsid w:val="00525365"/>
    <w:rsid w:val="00537B51"/>
    <w:rsid w:val="0055112B"/>
    <w:rsid w:val="005F677E"/>
    <w:rsid w:val="00640C67"/>
    <w:rsid w:val="00652C30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74412C"/>
    <w:rsid w:val="007B5ED0"/>
    <w:rsid w:val="00816F70"/>
    <w:rsid w:val="00817537"/>
    <w:rsid w:val="00830716"/>
    <w:rsid w:val="00863C62"/>
    <w:rsid w:val="008702A8"/>
    <w:rsid w:val="00871D88"/>
    <w:rsid w:val="0087536D"/>
    <w:rsid w:val="008B4307"/>
    <w:rsid w:val="008C62CE"/>
    <w:rsid w:val="008F3D0F"/>
    <w:rsid w:val="008F4D8F"/>
    <w:rsid w:val="00902070"/>
    <w:rsid w:val="00905628"/>
    <w:rsid w:val="00924315"/>
    <w:rsid w:val="009353BF"/>
    <w:rsid w:val="00935DEE"/>
    <w:rsid w:val="00970F64"/>
    <w:rsid w:val="009E77A4"/>
    <w:rsid w:val="009F1970"/>
    <w:rsid w:val="00A229F4"/>
    <w:rsid w:val="00A9517C"/>
    <w:rsid w:val="00A97672"/>
    <w:rsid w:val="00AA0CB0"/>
    <w:rsid w:val="00AC18EB"/>
    <w:rsid w:val="00AC414F"/>
    <w:rsid w:val="00AF148C"/>
    <w:rsid w:val="00B04563"/>
    <w:rsid w:val="00B0469A"/>
    <w:rsid w:val="00B24E14"/>
    <w:rsid w:val="00B37D7D"/>
    <w:rsid w:val="00B44C13"/>
    <w:rsid w:val="00B4659B"/>
    <w:rsid w:val="00B471F2"/>
    <w:rsid w:val="00B65C50"/>
    <w:rsid w:val="00B74B1B"/>
    <w:rsid w:val="00B850CF"/>
    <w:rsid w:val="00B87B70"/>
    <w:rsid w:val="00BC2A6A"/>
    <w:rsid w:val="00BD0C56"/>
    <w:rsid w:val="00BE65D0"/>
    <w:rsid w:val="00BF1B79"/>
    <w:rsid w:val="00C423F7"/>
    <w:rsid w:val="00C73334"/>
    <w:rsid w:val="00CC3322"/>
    <w:rsid w:val="00CC73DE"/>
    <w:rsid w:val="00CC79D9"/>
    <w:rsid w:val="00CF60FD"/>
    <w:rsid w:val="00D00107"/>
    <w:rsid w:val="00D02345"/>
    <w:rsid w:val="00D04DB2"/>
    <w:rsid w:val="00D403B1"/>
    <w:rsid w:val="00D4569F"/>
    <w:rsid w:val="00D468E4"/>
    <w:rsid w:val="00D7761A"/>
    <w:rsid w:val="00DB56D0"/>
    <w:rsid w:val="00DB6935"/>
    <w:rsid w:val="00DC32FF"/>
    <w:rsid w:val="00E033AF"/>
    <w:rsid w:val="00E368D5"/>
    <w:rsid w:val="00E67071"/>
    <w:rsid w:val="00E92E4C"/>
    <w:rsid w:val="00F025EA"/>
    <w:rsid w:val="00F079D0"/>
    <w:rsid w:val="00F47898"/>
    <w:rsid w:val="00F5376E"/>
    <w:rsid w:val="00F70AC2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32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04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codes/article_lc/LEGIARTI000053489928/2026-02-15" TargetMode="External"/><Relationship Id="rId13" Type="http://schemas.openxmlformats.org/officeDocument/2006/relationships/hyperlink" Target="https://www.legifrance.gouv.fr/codes/article_lc/LEGIARTI000020242992/2009-09-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codes/article_lc/LEGIARTI000053489928/2026-02-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france.gouv.fr/affichTexte.do?cidTexte=JORFTEXT000037833254&amp;categorieLien=i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codes/article_lc/LEGIARTI000020242992/2009-09-01" TargetMode="External"/><Relationship Id="rId14" Type="http://schemas.openxmlformats.org/officeDocument/2006/relationships/hyperlink" Target="https://www.legifrance.gouv.fr/affichTexte.do?cidTexte=JORFTEXT000037833254&amp;categorieLien=i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1118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6</cp:revision>
  <dcterms:created xsi:type="dcterms:W3CDTF">2026-03-16T10:53:00Z</dcterms:created>
  <dcterms:modified xsi:type="dcterms:W3CDTF">2026-03-20T14:24:00Z</dcterms:modified>
</cp:coreProperties>
</file>