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332" w:type="dxa"/>
        <w:tblInd w:w="-732" w:type="dxa"/>
        <w:tblLayout w:type="fixed"/>
        <w:tblLook w:val="04A0" w:firstRow="1" w:lastRow="0" w:firstColumn="1" w:lastColumn="0" w:noHBand="0" w:noVBand="1"/>
      </w:tblPr>
      <w:tblGrid>
        <w:gridCol w:w="3686"/>
        <w:gridCol w:w="284"/>
        <w:gridCol w:w="9072"/>
        <w:gridCol w:w="236"/>
        <w:gridCol w:w="49"/>
        <w:gridCol w:w="2691"/>
        <w:gridCol w:w="314"/>
      </w:tblGrid>
      <w:tr w:rsidR="00AC414F" w:rsidRPr="00401CCB" w14:paraId="75457DC7" w14:textId="77777777" w:rsidTr="004D4F13">
        <w:trPr>
          <w:trHeight w:hRule="exact" w:val="1361"/>
        </w:trPr>
        <w:tc>
          <w:tcPr>
            <w:tcW w:w="13042"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3880A523" w14:textId="42FE3387" w:rsidR="00E92E4C" w:rsidRPr="006D1CF6" w:rsidRDefault="00E92E4C" w:rsidP="008F3D0F">
            <w:pPr>
              <w:pStyle w:val="Titre2"/>
              <w:numPr>
                <w:ilvl w:val="0"/>
                <w:numId w:val="0"/>
              </w:numPr>
              <w:spacing w:before="40" w:after="40"/>
              <w:rPr>
                <w:rFonts w:ascii="Arial" w:hAnsi="Arial" w:cs="Arial"/>
                <w:sz w:val="30"/>
                <w:szCs w:val="30"/>
                <w:lang w:val="fr-FR"/>
              </w:rPr>
            </w:pPr>
            <w:r w:rsidRPr="006D1CF6">
              <w:rPr>
                <w:rFonts w:ascii="Arial" w:hAnsi="Arial" w:cs="Arial"/>
                <w:sz w:val="30"/>
                <w:szCs w:val="30"/>
                <w:lang w:val="fr-FR"/>
              </w:rPr>
              <w:t>1.</w:t>
            </w:r>
            <w:r w:rsidR="00353B6F">
              <w:rPr>
                <w:rFonts w:ascii="Arial" w:hAnsi="Arial" w:cs="Arial"/>
                <w:sz w:val="30"/>
                <w:szCs w:val="30"/>
                <w:lang w:val="fr-FR"/>
              </w:rPr>
              <w:t>10</w:t>
            </w:r>
            <w:r w:rsidRPr="006D1CF6">
              <w:rPr>
                <w:rFonts w:ascii="Arial" w:hAnsi="Arial" w:cs="Arial"/>
                <w:sz w:val="30"/>
                <w:szCs w:val="30"/>
                <w:lang w:val="fr-FR"/>
              </w:rPr>
              <w:t xml:space="preserve"> </w:t>
            </w:r>
            <w:r w:rsidR="00353B6F" w:rsidRPr="00353B6F">
              <w:rPr>
                <w:rFonts w:ascii="Arial" w:hAnsi="Arial" w:cs="Arial"/>
                <w:sz w:val="30"/>
                <w:szCs w:val="30"/>
                <w:lang w:val="fr-FR"/>
              </w:rPr>
              <w:t>Mettre en œuvre les liaisons CAP – BAC PRO, BAC PRO – BTS et certificats de spécialisation</w:t>
            </w:r>
            <w:r w:rsidR="00353B6F" w:rsidRPr="00353B6F">
              <w:rPr>
                <w:rFonts w:ascii="Arial" w:hAnsi="Arial" w:cs="Arial"/>
                <w:sz w:val="30"/>
                <w:szCs w:val="30"/>
                <w:lang w:val="fr-FR"/>
              </w:rPr>
              <w:t xml:space="preserve"> </w:t>
            </w:r>
            <w:r w:rsidR="00935DEE">
              <w:rPr>
                <w:rFonts w:ascii="Arial" w:hAnsi="Arial" w:cs="Arial"/>
                <w:sz w:val="30"/>
                <w:szCs w:val="30"/>
                <w:lang w:val="fr-FR"/>
              </w:rPr>
              <w:t>(1/2)</w:t>
            </w:r>
          </w:p>
          <w:p w14:paraId="3B0F9B2F" w14:textId="014C3AAE" w:rsidR="00127EA9" w:rsidRPr="00127EA9" w:rsidRDefault="00353B6F" w:rsidP="008F3D0F">
            <w:pPr>
              <w:contextualSpacing/>
              <w:rPr>
                <w:rFonts w:ascii="Arial" w:hAnsi="Arial" w:cs="Arial"/>
                <w:sz w:val="14"/>
                <w:szCs w:val="14"/>
                <w:lang w:eastAsia="en-US"/>
              </w:rPr>
            </w:pPr>
            <w:hyperlink r:id="rId8" w:history="1">
              <w:r w:rsidRPr="000679DA">
                <w:rPr>
                  <w:rStyle w:val="Lienhypertexte"/>
                  <w:rFonts w:ascii="Arial" w:hAnsi="Arial" w:cs="Arial"/>
                  <w:sz w:val="14"/>
                  <w:szCs w:val="14"/>
                </w:rPr>
                <w:t>Articles L. 612-3</w:t>
              </w:r>
            </w:hyperlink>
            <w:r w:rsidRPr="000679DA">
              <w:rPr>
                <w:rStyle w:val="Lienhypertexte"/>
                <w:rFonts w:ascii="Arial" w:hAnsi="Arial" w:cs="Arial"/>
                <w:sz w:val="14"/>
                <w:szCs w:val="14"/>
              </w:rPr>
              <w:t>,</w:t>
            </w:r>
            <w:r w:rsidRPr="000679DA">
              <w:rPr>
                <w:rFonts w:ascii="Arial" w:hAnsi="Arial" w:cs="Arial"/>
                <w:sz w:val="14"/>
                <w:szCs w:val="14"/>
              </w:rPr>
              <w:t xml:space="preserve"> </w:t>
            </w:r>
            <w:hyperlink r:id="rId9" w:history="1">
              <w:r w:rsidRPr="000679DA">
                <w:rPr>
                  <w:rStyle w:val="Lienhypertexte"/>
                  <w:rFonts w:ascii="Arial" w:hAnsi="Arial" w:cs="Arial"/>
                  <w:sz w:val="14"/>
                  <w:szCs w:val="14"/>
                </w:rPr>
                <w:t xml:space="preserve"> L111</w:t>
              </w:r>
            </w:hyperlink>
            <w:r w:rsidRPr="000679DA">
              <w:rPr>
                <w:rStyle w:val="Lienhypertexte"/>
                <w:rFonts w:ascii="Arial" w:hAnsi="Arial" w:cs="Arial"/>
                <w:sz w:val="14"/>
                <w:szCs w:val="14"/>
              </w:rPr>
              <w:t>-1</w:t>
            </w:r>
            <w:r w:rsidRPr="000679DA">
              <w:rPr>
                <w:rFonts w:ascii="Arial" w:hAnsi="Arial" w:cs="Arial"/>
                <w:sz w:val="14"/>
                <w:szCs w:val="14"/>
              </w:rPr>
              <w:t xml:space="preserve">, </w:t>
            </w:r>
            <w:hyperlink r:id="rId10" w:history="1">
              <w:r w:rsidRPr="000679DA">
                <w:rPr>
                  <w:rStyle w:val="Lienhypertexte"/>
                  <w:rFonts w:ascii="Arial" w:hAnsi="Arial" w:cs="Arial"/>
                  <w:sz w:val="14"/>
                  <w:szCs w:val="14"/>
                </w:rPr>
                <w:t>D612-30</w:t>
              </w:r>
            </w:hyperlink>
            <w:r w:rsidRPr="000679DA">
              <w:rPr>
                <w:rFonts w:ascii="Arial" w:hAnsi="Arial" w:cs="Arial"/>
                <w:sz w:val="14"/>
                <w:szCs w:val="14"/>
              </w:rPr>
              <w:t xml:space="preserve">, </w:t>
            </w:r>
            <w:hyperlink r:id="rId11" w:history="1">
              <w:r w:rsidRPr="000679DA">
                <w:rPr>
                  <w:rStyle w:val="Lienhypertexte"/>
                  <w:rFonts w:ascii="Arial" w:hAnsi="Arial" w:cs="Arial"/>
                  <w:sz w:val="14"/>
                  <w:szCs w:val="14"/>
                </w:rPr>
                <w:t>art. D612-31</w:t>
              </w:r>
            </w:hyperlink>
            <w:r w:rsidRPr="000679DA">
              <w:rPr>
                <w:rFonts w:ascii="Arial" w:hAnsi="Arial" w:cs="Arial"/>
                <w:sz w:val="14"/>
                <w:szCs w:val="14"/>
              </w:rPr>
              <w:t xml:space="preserve"> du code de l’éducation. A</w:t>
            </w:r>
            <w:hyperlink r:id="rId12" w:history="1">
              <w:r w:rsidRPr="000679DA">
                <w:rPr>
                  <w:rStyle w:val="Lienhypertexte"/>
                  <w:rFonts w:ascii="Arial" w:hAnsi="Arial" w:cs="Arial"/>
                  <w:sz w:val="14"/>
                  <w:szCs w:val="14"/>
                </w:rPr>
                <w:t>rrêté modifié du 21 novembre 2018</w:t>
              </w:r>
            </w:hyperlink>
            <w:r w:rsidRPr="000679DA">
              <w:rPr>
                <w:rFonts w:ascii="Arial" w:hAnsi="Arial" w:cs="Arial"/>
                <w:sz w:val="14"/>
                <w:szCs w:val="14"/>
              </w:rPr>
              <w:t xml:space="preserve"> relatif aux enseignements dispensés dans les formations sous statut scolaire préparant au baccalauréat professionnel   </w:t>
            </w:r>
            <w:hyperlink r:id="rId13" w:history="1">
              <w:r w:rsidRPr="000679DA">
                <w:rPr>
                  <w:rStyle w:val="Lienhypertexte"/>
                  <w:rFonts w:ascii="Arial" w:hAnsi="Arial" w:cs="Arial"/>
                  <w:sz w:val="14"/>
                  <w:szCs w:val="14"/>
                </w:rPr>
                <w:t>Arrêté modifié du 21 novembre 2018</w:t>
              </w:r>
            </w:hyperlink>
            <w:r w:rsidRPr="000679DA">
              <w:rPr>
                <w:rFonts w:ascii="Arial" w:hAnsi="Arial" w:cs="Arial"/>
                <w:sz w:val="14"/>
                <w:szCs w:val="14"/>
              </w:rPr>
              <w:t xml:space="preserve"> relatif aux enseignements dispensés dans les formations sous statut scolaire préparant au certificat d’aptitude professionnelle. Circulaire </w:t>
            </w:r>
            <w:hyperlink r:id="rId14" w:history="1">
              <w:r w:rsidRPr="000679DA">
                <w:rPr>
                  <w:rStyle w:val="Lienhypertexte"/>
                  <w:rFonts w:ascii="Arial" w:hAnsi="Arial" w:cs="Arial"/>
                  <w:iCs/>
                  <w:sz w:val="14"/>
                  <w:szCs w:val="14"/>
                </w:rPr>
                <w:t>n° 2016-055 du 29-3-2016</w:t>
              </w:r>
            </w:hyperlink>
            <w:r w:rsidRPr="000679DA">
              <w:rPr>
                <w:rFonts w:ascii="Arial" w:hAnsi="Arial" w:cs="Arial"/>
                <w:iCs/>
                <w:sz w:val="14"/>
                <w:szCs w:val="14"/>
                <w:u w:val="single"/>
              </w:rPr>
              <w:t xml:space="preserve"> </w:t>
            </w:r>
            <w:r w:rsidRPr="000679DA">
              <w:rPr>
                <w:rFonts w:ascii="Arial" w:hAnsi="Arial" w:cs="Arial"/>
                <w:sz w:val="14"/>
                <w:szCs w:val="14"/>
              </w:rPr>
              <w:t xml:space="preserve">(réussir l’entrée au lycée professionnel). Note de service </w:t>
            </w:r>
            <w:hyperlink r:id="rId15" w:history="1">
              <w:r w:rsidRPr="000679DA">
                <w:rPr>
                  <w:rStyle w:val="Lienhypertexte"/>
                  <w:rFonts w:ascii="Arial" w:hAnsi="Arial" w:cs="Arial"/>
                  <w:sz w:val="14"/>
                  <w:szCs w:val="14"/>
                </w:rPr>
                <w:t>du 4-3-2024</w:t>
              </w:r>
            </w:hyperlink>
            <w:r w:rsidRPr="000679DA">
              <w:rPr>
                <w:rFonts w:ascii="Arial" w:hAnsi="Arial" w:cs="Arial"/>
                <w:sz w:val="14"/>
                <w:szCs w:val="14"/>
              </w:rPr>
              <w:t xml:space="preserve"> (parcours différencié Terminale baccalauréat professionnel)</w:t>
            </w:r>
          </w:p>
        </w:tc>
        <w:tc>
          <w:tcPr>
            <w:tcW w:w="285" w:type="dxa"/>
            <w:gridSpan w:val="2"/>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005" w:type="dxa"/>
            <w:gridSpan w:val="2"/>
            <w:tcBorders>
              <w:top w:val="nil"/>
              <w:left w:val="nil"/>
              <w:bottom w:val="nil"/>
              <w:right w:val="nil"/>
            </w:tcBorders>
            <w:shd w:val="clear" w:color="auto" w:fill="auto"/>
            <w:vAlign w:val="center"/>
          </w:tcPr>
          <w:p w14:paraId="70C5F499" w14:textId="77777777" w:rsidR="00FC266A" w:rsidRPr="00401CCB" w:rsidRDefault="00FC266A" w:rsidP="00406D08">
            <w:pPr>
              <w:ind w:right="101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DB56D0" w:rsidRPr="00401CCB" w14:paraId="1407D6CA" w14:textId="77777777" w:rsidTr="00353B6F">
        <w:trPr>
          <w:gridAfter w:val="1"/>
          <w:wAfter w:w="314" w:type="dxa"/>
          <w:trHeight w:val="57"/>
        </w:trPr>
        <w:tc>
          <w:tcPr>
            <w:tcW w:w="3686"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9072"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2740" w:type="dxa"/>
            <w:gridSpan w:val="2"/>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300716" w:rsidRPr="00401CCB" w14:paraId="07196ED3" w14:textId="77777777" w:rsidTr="00353B6F">
        <w:trPr>
          <w:gridAfter w:val="1"/>
          <w:wAfter w:w="314" w:type="dxa"/>
          <w:trHeight w:hRule="exact" w:val="573"/>
        </w:trPr>
        <w:tc>
          <w:tcPr>
            <w:tcW w:w="3686"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9072"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2740"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DB56D0" w:rsidRPr="00401CCB" w14:paraId="179E3F19" w14:textId="77777777" w:rsidTr="00353B6F">
        <w:trPr>
          <w:gridAfter w:val="1"/>
          <w:wAfter w:w="314" w:type="dxa"/>
          <w:trHeight w:hRule="exact" w:val="7370"/>
        </w:trPr>
        <w:tc>
          <w:tcPr>
            <w:tcW w:w="3686"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E92E4C">
            <w:pPr>
              <w:spacing w:before="60" w:after="120"/>
              <w:rPr>
                <w:rFonts w:ascii="Arial" w:hAnsi="Arial" w:cs="Arial"/>
                <w:b/>
                <w:color w:val="951B81"/>
              </w:rPr>
            </w:pPr>
            <w:r w:rsidRPr="00401CCB">
              <w:rPr>
                <w:rFonts w:ascii="Arial" w:hAnsi="Arial" w:cs="Arial"/>
                <w:b/>
                <w:color w:val="951B81"/>
              </w:rPr>
              <w:t>Contexte, stratégie, sens, objectifs</w:t>
            </w:r>
          </w:p>
          <w:p w14:paraId="3C9EE4C1" w14:textId="77777777" w:rsidR="00353B6F" w:rsidRPr="00353B6F" w:rsidRDefault="00353B6F" w:rsidP="00353B6F">
            <w:pPr>
              <w:widowControl w:val="0"/>
              <w:tabs>
                <w:tab w:val="left" w:pos="323"/>
              </w:tabs>
              <w:spacing w:after="120"/>
              <w:ind w:right="170"/>
              <w:rPr>
                <w:rFonts w:ascii="Arial" w:eastAsia="MS Mincho" w:hAnsi="Arial" w:cs="Arial"/>
                <w:sz w:val="18"/>
                <w:szCs w:val="18"/>
              </w:rPr>
            </w:pPr>
            <w:r w:rsidRPr="00353B6F">
              <w:rPr>
                <w:rFonts w:ascii="Arial" w:eastAsia="MS Mincho" w:hAnsi="Arial" w:cs="Arial"/>
                <w:sz w:val="18"/>
                <w:szCs w:val="18"/>
              </w:rPr>
              <w:t>La voie professionnelle propose des diplômes qui permettent une insertion professionnelle directe. Elle doit également favoriser pour ceux qui le souhaitent une poursuite d’études pour obtenir d’obtenir une qualification supérieure.</w:t>
            </w:r>
          </w:p>
          <w:p w14:paraId="36BA960F" w14:textId="77777777" w:rsidR="00353B6F" w:rsidRPr="00353B6F" w:rsidRDefault="00353B6F" w:rsidP="00353B6F">
            <w:pPr>
              <w:widowControl w:val="0"/>
              <w:tabs>
                <w:tab w:val="left" w:pos="323"/>
              </w:tabs>
              <w:spacing w:after="120"/>
              <w:ind w:right="170"/>
              <w:rPr>
                <w:rFonts w:ascii="Arial" w:eastAsia="MS Mincho" w:hAnsi="Arial" w:cs="Arial"/>
                <w:sz w:val="18"/>
                <w:szCs w:val="18"/>
              </w:rPr>
            </w:pPr>
            <w:r w:rsidRPr="00353B6F">
              <w:rPr>
                <w:rFonts w:ascii="Arial" w:eastAsia="MS Mincho" w:hAnsi="Arial" w:cs="Arial"/>
                <w:sz w:val="18"/>
                <w:szCs w:val="18"/>
              </w:rPr>
              <w:t>Le baccalauréat professionnel, comme les baccalauréats général et technologique, constitue le grade universitaire et donne accès de droit à l’enseignement supérieur.</w:t>
            </w:r>
          </w:p>
          <w:p w14:paraId="2F1B7E0A" w14:textId="77777777" w:rsidR="00353B6F" w:rsidRPr="00353B6F" w:rsidRDefault="00353B6F" w:rsidP="00353B6F">
            <w:pPr>
              <w:widowControl w:val="0"/>
              <w:tabs>
                <w:tab w:val="left" w:pos="323"/>
              </w:tabs>
              <w:spacing w:after="120"/>
              <w:ind w:right="170"/>
              <w:rPr>
                <w:rFonts w:ascii="Arial" w:eastAsia="MS Mincho" w:hAnsi="Arial" w:cs="Arial"/>
                <w:sz w:val="18"/>
                <w:szCs w:val="18"/>
              </w:rPr>
            </w:pPr>
            <w:r w:rsidRPr="00353B6F">
              <w:rPr>
                <w:rFonts w:ascii="Arial" w:eastAsia="MS Mincho" w:hAnsi="Arial" w:cs="Arial"/>
                <w:sz w:val="18"/>
                <w:szCs w:val="18"/>
              </w:rPr>
              <w:t>Les régions académiques travaillent en concertation avec les régions pour offrir des parcours de formation tenant compte de la double finalité des diplômes, insertion et poursuite d’études. Elles sont encouragées à développer des formations conduisant à des certificats de spécialisation post-CAP et post-bac.</w:t>
            </w:r>
          </w:p>
          <w:p w14:paraId="4CBF0F23" w14:textId="77777777" w:rsidR="00353B6F" w:rsidRPr="00353B6F" w:rsidRDefault="00353B6F" w:rsidP="00353B6F">
            <w:pPr>
              <w:widowControl w:val="0"/>
              <w:tabs>
                <w:tab w:val="left" w:pos="323"/>
              </w:tabs>
              <w:spacing w:after="120"/>
              <w:ind w:right="170"/>
              <w:rPr>
                <w:rFonts w:ascii="Arial" w:eastAsia="MS Mincho" w:hAnsi="Arial" w:cs="Arial"/>
                <w:sz w:val="18"/>
                <w:szCs w:val="18"/>
              </w:rPr>
            </w:pPr>
            <w:r w:rsidRPr="00353B6F">
              <w:rPr>
                <w:rFonts w:ascii="Arial" w:eastAsia="MS Mincho" w:hAnsi="Arial" w:cs="Arial"/>
                <w:sz w:val="18"/>
                <w:szCs w:val="18"/>
              </w:rPr>
              <w:t>Dans ce contexte, les liaisons CAP-bac pro et bac pro-BTS nécessitent l’élaboration de stratégies concertées entre les établissements, les régions académiques et les régions.</w:t>
            </w:r>
          </w:p>
          <w:p w14:paraId="58B492D2" w14:textId="08C6FF76" w:rsidR="00353B6F" w:rsidRPr="00353B6F" w:rsidRDefault="00DF3EB3" w:rsidP="00353B6F">
            <w:pPr>
              <w:widowControl w:val="0"/>
              <w:numPr>
                <w:ilvl w:val="0"/>
                <w:numId w:val="3"/>
              </w:numPr>
              <w:tabs>
                <w:tab w:val="left" w:pos="323"/>
              </w:tabs>
              <w:spacing w:after="120"/>
              <w:ind w:left="284" w:right="170" w:hanging="193"/>
              <w:rPr>
                <w:rFonts w:ascii="Arial" w:eastAsia="MS Mincho" w:hAnsi="Arial" w:cs="Arial"/>
                <w:sz w:val="18"/>
                <w:szCs w:val="18"/>
              </w:rPr>
            </w:pPr>
            <w:r>
              <w:rPr>
                <w:rFonts w:ascii="Arial" w:eastAsia="MS Mincho" w:hAnsi="Arial" w:cs="Arial"/>
                <w:sz w:val="18"/>
                <w:szCs w:val="18"/>
              </w:rPr>
              <w:t>Les liaisons font-elles</w:t>
            </w:r>
            <w:r w:rsidR="00353B6F" w:rsidRPr="00353B6F">
              <w:rPr>
                <w:rFonts w:ascii="Arial" w:eastAsia="MS Mincho" w:hAnsi="Arial" w:cs="Arial"/>
                <w:sz w:val="18"/>
                <w:szCs w:val="18"/>
              </w:rPr>
              <w:t xml:space="preserve"> partie du projet d’établissement ? </w:t>
            </w:r>
          </w:p>
          <w:p w14:paraId="22716BB7" w14:textId="77777777" w:rsidR="00353B6F" w:rsidRPr="00353B6F" w:rsidRDefault="00353B6F" w:rsidP="00353B6F">
            <w:pPr>
              <w:widowControl w:val="0"/>
              <w:numPr>
                <w:ilvl w:val="0"/>
                <w:numId w:val="3"/>
              </w:numPr>
              <w:tabs>
                <w:tab w:val="left" w:pos="323"/>
              </w:tabs>
              <w:spacing w:after="120"/>
              <w:ind w:left="284" w:right="170" w:hanging="193"/>
              <w:rPr>
                <w:rFonts w:ascii="Arial" w:eastAsia="MS Mincho" w:hAnsi="Arial" w:cs="Arial"/>
                <w:sz w:val="18"/>
                <w:szCs w:val="18"/>
              </w:rPr>
            </w:pPr>
            <w:r w:rsidRPr="00353B6F">
              <w:rPr>
                <w:rFonts w:ascii="Arial" w:eastAsia="MS Mincho" w:hAnsi="Arial" w:cs="Arial"/>
                <w:sz w:val="18"/>
                <w:szCs w:val="18"/>
              </w:rPr>
              <w:t>Des stratégies sont-elles mises en place ? des objectifs sont-ils définis ?</w:t>
            </w:r>
          </w:p>
          <w:p w14:paraId="5AB86FFF" w14:textId="77777777" w:rsidR="00660471" w:rsidRPr="00660471" w:rsidRDefault="00660471" w:rsidP="00A9517C">
            <w:pPr>
              <w:spacing w:afterLines="60" w:after="144"/>
              <w:rPr>
                <w:rFonts w:asciiTheme="minorHAnsi" w:hAnsiTheme="minorHAnsi"/>
                <w:sz w:val="18"/>
                <w:szCs w:val="18"/>
              </w:rPr>
            </w:pPr>
          </w:p>
          <w:p w14:paraId="460A99C9" w14:textId="77777777" w:rsidR="00660471" w:rsidRPr="00660471" w:rsidRDefault="00660471" w:rsidP="00660471">
            <w:pPr>
              <w:rPr>
                <w:rFonts w:asciiTheme="minorHAnsi" w:hAnsiTheme="minorHAnsi"/>
                <w:sz w:val="18"/>
                <w:szCs w:val="18"/>
              </w:rPr>
            </w:pP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84"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9072"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9F1970">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Moyens – Temps</w:t>
            </w:r>
          </w:p>
          <w:p w14:paraId="6AF6BA00" w14:textId="77777777" w:rsidR="00DF3EB3" w:rsidRPr="00DF3EB3" w:rsidRDefault="00DF3EB3" w:rsidP="00DF3EB3">
            <w:pPr>
              <w:widowControl w:val="0"/>
              <w:tabs>
                <w:tab w:val="left" w:pos="323"/>
              </w:tabs>
              <w:spacing w:after="60"/>
              <w:ind w:right="170"/>
              <w:rPr>
                <w:rFonts w:ascii="Arial" w:eastAsia="MS Mincho" w:hAnsi="Arial" w:cs="Arial"/>
                <w:sz w:val="18"/>
                <w:szCs w:val="18"/>
              </w:rPr>
            </w:pPr>
            <w:r w:rsidRPr="00DF3EB3">
              <w:rPr>
                <w:rFonts w:ascii="Arial" w:eastAsia="MS Mincho" w:hAnsi="Arial" w:cs="Arial"/>
                <w:b/>
                <w:color w:val="00B050"/>
                <w:sz w:val="18"/>
                <w:szCs w:val="18"/>
              </w:rPr>
              <w:t>Acteurs et pilotage</w:t>
            </w:r>
          </w:p>
          <w:p w14:paraId="1BF127E5" w14:textId="77777777" w:rsidR="00DF3EB3" w:rsidRDefault="00DF3EB3" w:rsidP="00DF3EB3">
            <w:pPr>
              <w:widowControl w:val="0"/>
              <w:numPr>
                <w:ilvl w:val="0"/>
                <w:numId w:val="3"/>
              </w:numPr>
              <w:tabs>
                <w:tab w:val="left" w:pos="323"/>
              </w:tabs>
              <w:ind w:left="318" w:right="170" w:hanging="227"/>
              <w:rPr>
                <w:rFonts w:ascii="Arial" w:eastAsia="MS Mincho" w:hAnsi="Arial" w:cs="Arial"/>
                <w:sz w:val="18"/>
                <w:szCs w:val="18"/>
              </w:rPr>
            </w:pPr>
            <w:r w:rsidRPr="00DF3EB3">
              <w:rPr>
                <w:rFonts w:ascii="Arial" w:eastAsia="MS Mincho" w:hAnsi="Arial" w:cs="Arial"/>
                <w:sz w:val="18"/>
                <w:szCs w:val="18"/>
              </w:rPr>
              <w:t>L’équipe de direction pilote-t-elle ce dispositif ? Y prend-elle part ou a-t-elle désignée un coordonnateur</w:t>
            </w:r>
            <w:r>
              <w:rPr>
                <w:rFonts w:ascii="Arial" w:eastAsia="MS Mincho" w:hAnsi="Arial" w:cs="Arial"/>
                <w:sz w:val="18"/>
                <w:szCs w:val="18"/>
              </w:rPr>
              <w:t xml:space="preserve"> ? </w:t>
            </w:r>
          </w:p>
          <w:p w14:paraId="5890D0C5" w14:textId="77777777" w:rsidR="00DF3EB3" w:rsidRDefault="00DF3EB3" w:rsidP="00DF3EB3">
            <w:pPr>
              <w:widowControl w:val="0"/>
              <w:numPr>
                <w:ilvl w:val="0"/>
                <w:numId w:val="3"/>
              </w:numPr>
              <w:tabs>
                <w:tab w:val="left" w:pos="323"/>
              </w:tabs>
              <w:ind w:left="318" w:right="170" w:hanging="227"/>
              <w:rPr>
                <w:rFonts w:ascii="Arial" w:eastAsia="MS Mincho" w:hAnsi="Arial" w:cs="Arial"/>
                <w:sz w:val="18"/>
                <w:szCs w:val="18"/>
              </w:rPr>
            </w:pPr>
            <w:r w:rsidRPr="00DF3EB3">
              <w:rPr>
                <w:rFonts w:ascii="Arial" w:eastAsia="MS Mincho" w:hAnsi="Arial" w:cs="Arial"/>
                <w:sz w:val="18"/>
                <w:szCs w:val="18"/>
              </w:rPr>
              <w:t>Le conseil pédagogique est-il acteur dans sa mise en place ?</w:t>
            </w:r>
          </w:p>
          <w:p w14:paraId="56C845FA" w14:textId="77777777" w:rsidR="00DF3EB3" w:rsidRDefault="00DF3EB3" w:rsidP="00DF3EB3">
            <w:pPr>
              <w:widowControl w:val="0"/>
              <w:numPr>
                <w:ilvl w:val="0"/>
                <w:numId w:val="3"/>
              </w:numPr>
              <w:tabs>
                <w:tab w:val="left" w:pos="323"/>
              </w:tabs>
              <w:ind w:left="318" w:right="170" w:hanging="227"/>
              <w:rPr>
                <w:rFonts w:ascii="Arial" w:eastAsia="MS Mincho" w:hAnsi="Arial" w:cs="Arial"/>
                <w:sz w:val="18"/>
                <w:szCs w:val="18"/>
              </w:rPr>
            </w:pPr>
            <w:r w:rsidRPr="00DF3EB3">
              <w:rPr>
                <w:rFonts w:ascii="Arial" w:eastAsia="MS Mincho" w:hAnsi="Arial" w:cs="Arial"/>
                <w:sz w:val="18"/>
                <w:szCs w:val="18"/>
              </w:rPr>
              <w:t>Un conseil spécifique lié à cette thématique existe-t-il ?</w:t>
            </w:r>
          </w:p>
          <w:p w14:paraId="27CC21FF" w14:textId="77777777" w:rsidR="00DF3EB3" w:rsidRDefault="00DF3EB3" w:rsidP="00DF3EB3">
            <w:pPr>
              <w:widowControl w:val="0"/>
              <w:numPr>
                <w:ilvl w:val="0"/>
                <w:numId w:val="3"/>
              </w:numPr>
              <w:tabs>
                <w:tab w:val="left" w:pos="323"/>
              </w:tabs>
              <w:ind w:left="318" w:right="170" w:hanging="227"/>
              <w:rPr>
                <w:rFonts w:ascii="Arial" w:eastAsia="MS Mincho" w:hAnsi="Arial" w:cs="Arial"/>
                <w:sz w:val="18"/>
                <w:szCs w:val="18"/>
              </w:rPr>
            </w:pPr>
            <w:r w:rsidRPr="00DF3EB3">
              <w:rPr>
                <w:rFonts w:ascii="Arial" w:eastAsia="MS Mincho" w:hAnsi="Arial" w:cs="Arial"/>
                <w:sz w:val="18"/>
                <w:szCs w:val="18"/>
              </w:rPr>
              <w:t>Le dispositif est-il connu de tous (ensemble des équipes pédagogiques, élèves et familles) ?</w:t>
            </w:r>
          </w:p>
          <w:p w14:paraId="1146EEC9" w14:textId="0CFD81F5" w:rsidR="00DF3EB3" w:rsidRPr="00DF3EB3" w:rsidRDefault="00DF3EB3" w:rsidP="00DF3EB3">
            <w:pPr>
              <w:widowControl w:val="0"/>
              <w:numPr>
                <w:ilvl w:val="0"/>
                <w:numId w:val="3"/>
              </w:numPr>
              <w:tabs>
                <w:tab w:val="left" w:pos="323"/>
              </w:tabs>
              <w:ind w:left="318" w:right="170" w:hanging="227"/>
              <w:rPr>
                <w:rFonts w:ascii="Arial" w:eastAsia="MS Mincho" w:hAnsi="Arial" w:cs="Arial"/>
                <w:sz w:val="18"/>
                <w:szCs w:val="18"/>
              </w:rPr>
            </w:pPr>
            <w:r w:rsidRPr="00DF3EB3">
              <w:rPr>
                <w:rFonts w:ascii="Arial" w:eastAsia="MS Mincho" w:hAnsi="Arial" w:cs="Arial"/>
                <w:sz w:val="18"/>
                <w:szCs w:val="18"/>
              </w:rPr>
              <w:t>Des indicateurs et le résultat des actions sont-ils publiés et connus de tous ?</w:t>
            </w:r>
          </w:p>
          <w:p w14:paraId="6D7CBE9F" w14:textId="4E669EB8" w:rsidR="00DF3EB3" w:rsidRPr="00DF3EB3" w:rsidRDefault="00DF3EB3" w:rsidP="00DF3EB3">
            <w:pPr>
              <w:widowControl w:val="0"/>
              <w:tabs>
                <w:tab w:val="left" w:pos="323"/>
              </w:tabs>
              <w:spacing w:before="120" w:after="60"/>
              <w:ind w:right="170"/>
              <w:rPr>
                <w:rFonts w:ascii="Arial" w:eastAsia="MS Mincho" w:hAnsi="Arial" w:cs="Arial"/>
                <w:sz w:val="18"/>
                <w:szCs w:val="18"/>
              </w:rPr>
            </w:pPr>
            <w:r w:rsidRPr="00DF3EB3">
              <w:rPr>
                <w:rFonts w:ascii="Arial" w:eastAsia="MS Mincho" w:hAnsi="Arial" w:cs="Arial"/>
                <w:b/>
                <w:color w:val="00B050"/>
                <w:sz w:val="18"/>
                <w:szCs w:val="18"/>
              </w:rPr>
              <w:t xml:space="preserve">Information et orientation </w:t>
            </w:r>
          </w:p>
          <w:p w14:paraId="7586E79D" w14:textId="77777777" w:rsidR="00DF3EB3" w:rsidRDefault="00DF3EB3" w:rsidP="00DF3EB3">
            <w:pPr>
              <w:widowControl w:val="0"/>
              <w:numPr>
                <w:ilvl w:val="0"/>
                <w:numId w:val="3"/>
              </w:numPr>
              <w:tabs>
                <w:tab w:val="left" w:pos="323"/>
              </w:tabs>
              <w:ind w:left="318" w:right="170" w:hanging="227"/>
              <w:rPr>
                <w:rFonts w:ascii="Arial" w:eastAsia="MS Mincho" w:hAnsi="Arial" w:cs="Arial"/>
                <w:sz w:val="18"/>
                <w:szCs w:val="18"/>
              </w:rPr>
            </w:pPr>
            <w:r w:rsidRPr="00DF3EB3">
              <w:rPr>
                <w:rFonts w:ascii="Arial" w:eastAsia="MS Mincho" w:hAnsi="Arial" w:cs="Arial"/>
                <w:sz w:val="18"/>
                <w:szCs w:val="18"/>
              </w:rPr>
              <w:t>Quel dispositif d’information et d’orientation est mis en place ?</w:t>
            </w:r>
          </w:p>
          <w:p w14:paraId="7372270E" w14:textId="77777777" w:rsidR="00DF3EB3" w:rsidRDefault="00DF3EB3" w:rsidP="00DF3EB3">
            <w:pPr>
              <w:widowControl w:val="0"/>
              <w:numPr>
                <w:ilvl w:val="0"/>
                <w:numId w:val="3"/>
              </w:numPr>
              <w:tabs>
                <w:tab w:val="left" w:pos="323"/>
              </w:tabs>
              <w:ind w:left="318" w:right="170" w:hanging="227"/>
              <w:rPr>
                <w:rFonts w:ascii="Arial" w:eastAsia="MS Mincho" w:hAnsi="Arial" w:cs="Arial"/>
                <w:sz w:val="18"/>
                <w:szCs w:val="18"/>
              </w:rPr>
            </w:pPr>
            <w:r w:rsidRPr="00DF3EB3">
              <w:rPr>
                <w:rFonts w:ascii="Arial" w:eastAsia="MS Mincho" w:hAnsi="Arial" w:cs="Arial"/>
                <w:sz w:val="18"/>
                <w:szCs w:val="18"/>
              </w:rPr>
              <w:t>Durant quelle année de formation ? selon quelles modalités ? avec quels acteurs (Psy-En, professeurs enseignant en classes de BTS, professionnels ?)</w:t>
            </w:r>
          </w:p>
          <w:p w14:paraId="6AEE24D0" w14:textId="77777777" w:rsidR="00DF3EB3" w:rsidRDefault="00DF3EB3" w:rsidP="00DF3EB3">
            <w:pPr>
              <w:widowControl w:val="0"/>
              <w:numPr>
                <w:ilvl w:val="0"/>
                <w:numId w:val="3"/>
              </w:numPr>
              <w:tabs>
                <w:tab w:val="left" w:pos="323"/>
              </w:tabs>
              <w:ind w:left="318" w:right="170" w:hanging="227"/>
              <w:rPr>
                <w:rFonts w:ascii="Arial" w:eastAsia="MS Mincho" w:hAnsi="Arial" w:cs="Arial"/>
                <w:sz w:val="18"/>
                <w:szCs w:val="18"/>
              </w:rPr>
            </w:pPr>
            <w:r w:rsidRPr="00DF3EB3">
              <w:rPr>
                <w:rFonts w:ascii="Arial" w:eastAsia="MS Mincho" w:hAnsi="Arial" w:cs="Arial"/>
                <w:sz w:val="18"/>
                <w:szCs w:val="18"/>
              </w:rPr>
              <w:t xml:space="preserve">Des actions spécifiques sont-elles envisagées dans le cadre des heures dédiées à l’accompagnement personnalisé, du soutien au parcours, de la préparation à la poursuite d’études supérieures et de la préparation à l’insertion professionnelle ? </w:t>
            </w:r>
          </w:p>
          <w:p w14:paraId="6F6F0553" w14:textId="77777777" w:rsidR="00DF3EB3" w:rsidRDefault="00DF3EB3" w:rsidP="00DF3EB3">
            <w:pPr>
              <w:widowControl w:val="0"/>
              <w:numPr>
                <w:ilvl w:val="0"/>
                <w:numId w:val="3"/>
              </w:numPr>
              <w:tabs>
                <w:tab w:val="left" w:pos="323"/>
              </w:tabs>
              <w:ind w:left="318" w:right="170" w:hanging="227"/>
              <w:rPr>
                <w:rFonts w:ascii="Arial" w:eastAsia="MS Mincho" w:hAnsi="Arial" w:cs="Arial"/>
                <w:sz w:val="18"/>
                <w:szCs w:val="18"/>
              </w:rPr>
            </w:pPr>
            <w:r w:rsidRPr="00DF3EB3">
              <w:rPr>
                <w:rFonts w:ascii="Arial" w:eastAsia="MS Mincho" w:hAnsi="Arial" w:cs="Arial"/>
                <w:sz w:val="18"/>
                <w:szCs w:val="18"/>
              </w:rPr>
              <w:t>Des démarches d’accompagnement pour un passage au statut d’étudiant sont-elles envisagées ?</w:t>
            </w:r>
          </w:p>
          <w:p w14:paraId="483791D3" w14:textId="77777777" w:rsidR="00DF3EB3" w:rsidRDefault="00DF3EB3" w:rsidP="00DF3EB3">
            <w:pPr>
              <w:widowControl w:val="0"/>
              <w:numPr>
                <w:ilvl w:val="0"/>
                <w:numId w:val="3"/>
              </w:numPr>
              <w:tabs>
                <w:tab w:val="left" w:pos="323"/>
              </w:tabs>
              <w:ind w:left="318" w:right="170" w:hanging="227"/>
              <w:rPr>
                <w:rFonts w:ascii="Arial" w:eastAsia="MS Mincho" w:hAnsi="Arial" w:cs="Arial"/>
                <w:sz w:val="18"/>
                <w:szCs w:val="18"/>
              </w:rPr>
            </w:pPr>
            <w:r w:rsidRPr="00DF3EB3">
              <w:rPr>
                <w:rFonts w:ascii="Arial" w:eastAsia="MS Mincho" w:hAnsi="Arial" w:cs="Arial"/>
                <w:sz w:val="18"/>
                <w:szCs w:val="18"/>
              </w:rPr>
              <w:t>Le choix de l’orientation est-il abordé en conseil de classe ? À quel moment ? Comment l’expérimentation de l’avis du conseil de classe de terminale bac pro pour le BTS est-t-elle travaillée en équipe pédagogique ?</w:t>
            </w:r>
          </w:p>
          <w:p w14:paraId="6E0C7C21" w14:textId="4F7F3331" w:rsidR="00372EA1" w:rsidRPr="00C36A6B" w:rsidRDefault="00DF3EB3" w:rsidP="00C36A6B">
            <w:pPr>
              <w:widowControl w:val="0"/>
              <w:numPr>
                <w:ilvl w:val="0"/>
                <w:numId w:val="3"/>
              </w:numPr>
              <w:tabs>
                <w:tab w:val="left" w:pos="323"/>
              </w:tabs>
              <w:ind w:left="318" w:right="170" w:hanging="227"/>
              <w:rPr>
                <w:rFonts w:ascii="Arial" w:eastAsia="MS Mincho" w:hAnsi="Arial" w:cs="Arial"/>
                <w:sz w:val="18"/>
                <w:szCs w:val="18"/>
              </w:rPr>
            </w:pPr>
            <w:r w:rsidRPr="00DF3EB3">
              <w:rPr>
                <w:rFonts w:ascii="Arial" w:eastAsia="MS Mincho" w:hAnsi="Arial" w:cs="Arial"/>
                <w:sz w:val="18"/>
                <w:szCs w:val="18"/>
              </w:rPr>
              <w:t>Les cordées de la réussite sont-elles mobilisées et de quelle façon ?</w:t>
            </w:r>
          </w:p>
          <w:p w14:paraId="2AD338FB" w14:textId="66B87CD2" w:rsidR="00372EA1" w:rsidRPr="00372EA1" w:rsidRDefault="00372EA1" w:rsidP="00C36A6B">
            <w:pPr>
              <w:widowControl w:val="0"/>
              <w:tabs>
                <w:tab w:val="left" w:pos="323"/>
              </w:tabs>
              <w:spacing w:before="120" w:after="60"/>
              <w:ind w:right="170"/>
              <w:rPr>
                <w:rFonts w:ascii="Arial" w:eastAsia="MS Mincho" w:hAnsi="Arial" w:cs="Arial"/>
                <w:sz w:val="18"/>
                <w:szCs w:val="18"/>
              </w:rPr>
            </w:pPr>
            <w:r w:rsidRPr="00372EA1">
              <w:rPr>
                <w:rFonts w:ascii="Arial" w:eastAsia="MS Mincho" w:hAnsi="Arial" w:cs="Arial"/>
                <w:b/>
                <w:color w:val="00B050"/>
                <w:sz w:val="18"/>
                <w:szCs w:val="18"/>
              </w:rPr>
              <w:t xml:space="preserve">Liaisons CAP </w:t>
            </w:r>
            <w:r w:rsidR="00C96015">
              <w:rPr>
                <w:rFonts w:ascii="Arial" w:eastAsia="MS Mincho" w:hAnsi="Arial" w:cs="Arial"/>
                <w:b/>
                <w:color w:val="00B050"/>
                <w:sz w:val="18"/>
                <w:szCs w:val="18"/>
              </w:rPr>
              <w:t>–</w:t>
            </w:r>
            <w:r w:rsidRPr="00372EA1">
              <w:rPr>
                <w:rFonts w:ascii="Arial" w:eastAsia="MS Mincho" w:hAnsi="Arial" w:cs="Arial"/>
                <w:b/>
                <w:color w:val="00B050"/>
                <w:sz w:val="18"/>
                <w:szCs w:val="18"/>
              </w:rPr>
              <w:t xml:space="preserve"> bac pro, bac pro </w:t>
            </w:r>
            <w:r w:rsidR="00C96015" w:rsidRPr="00C96015">
              <w:rPr>
                <w:rFonts w:ascii="Arial" w:eastAsia="MS Mincho" w:hAnsi="Arial" w:cs="Arial"/>
                <w:b/>
                <w:color w:val="00B050"/>
                <w:sz w:val="18"/>
                <w:szCs w:val="18"/>
              </w:rPr>
              <w:t>–</w:t>
            </w:r>
            <w:r w:rsidRPr="00372EA1">
              <w:rPr>
                <w:rFonts w:ascii="Arial" w:eastAsia="MS Mincho" w:hAnsi="Arial" w:cs="Arial"/>
                <w:b/>
                <w:color w:val="00B050"/>
                <w:sz w:val="18"/>
                <w:szCs w:val="18"/>
              </w:rPr>
              <w:t xml:space="preserve"> BTS et CAP ou bac pro </w:t>
            </w:r>
            <w:r w:rsidR="00C96015" w:rsidRPr="00C96015">
              <w:rPr>
                <w:rFonts w:ascii="Arial" w:eastAsia="MS Mincho" w:hAnsi="Arial" w:cs="Arial"/>
                <w:b/>
                <w:color w:val="00B050"/>
                <w:sz w:val="18"/>
                <w:szCs w:val="18"/>
              </w:rPr>
              <w:t>–</w:t>
            </w:r>
            <w:r w:rsidRPr="00372EA1">
              <w:rPr>
                <w:rFonts w:ascii="Arial" w:eastAsia="MS Mincho" w:hAnsi="Arial" w:cs="Arial"/>
                <w:b/>
                <w:color w:val="00B050"/>
                <w:sz w:val="18"/>
                <w:szCs w:val="18"/>
              </w:rPr>
              <w:t xml:space="preserve"> </w:t>
            </w:r>
            <w:r w:rsidR="00C96015">
              <w:rPr>
                <w:rFonts w:ascii="Arial" w:eastAsia="MS Mincho" w:hAnsi="Arial" w:cs="Arial"/>
                <w:b/>
                <w:color w:val="00B050"/>
                <w:sz w:val="18"/>
                <w:szCs w:val="18"/>
              </w:rPr>
              <w:t>certificat de spécialisation</w:t>
            </w:r>
          </w:p>
          <w:p w14:paraId="45B31CBE" w14:textId="77777777" w:rsidR="00C36A6B" w:rsidRDefault="00C36A6B" w:rsidP="00C36A6B">
            <w:pPr>
              <w:widowControl w:val="0"/>
              <w:numPr>
                <w:ilvl w:val="0"/>
                <w:numId w:val="3"/>
              </w:numPr>
              <w:tabs>
                <w:tab w:val="left" w:pos="323"/>
              </w:tabs>
              <w:ind w:left="318" w:right="170" w:hanging="227"/>
              <w:rPr>
                <w:rFonts w:ascii="Arial" w:eastAsia="MS Mincho" w:hAnsi="Arial" w:cs="Arial"/>
                <w:sz w:val="18"/>
                <w:szCs w:val="18"/>
              </w:rPr>
            </w:pPr>
            <w:r w:rsidRPr="00C36A6B">
              <w:rPr>
                <w:rFonts w:ascii="Arial" w:eastAsia="MS Mincho" w:hAnsi="Arial" w:cs="Arial"/>
                <w:sz w:val="18"/>
                <w:szCs w:val="18"/>
              </w:rPr>
              <w:t xml:space="preserve">Quels partenariats sont établis entre lycées professionnels ou entre lycées professionnels et lycées technologiques pour faciliter ces liaisons ? au sein même d’un lycée polyvalent ? </w:t>
            </w:r>
          </w:p>
          <w:p w14:paraId="6AD839B1" w14:textId="77777777" w:rsidR="00C36A6B" w:rsidRDefault="00C36A6B" w:rsidP="00C36A6B">
            <w:pPr>
              <w:widowControl w:val="0"/>
              <w:numPr>
                <w:ilvl w:val="0"/>
                <w:numId w:val="3"/>
              </w:numPr>
              <w:tabs>
                <w:tab w:val="left" w:pos="323"/>
              </w:tabs>
              <w:ind w:left="318" w:right="170" w:hanging="227"/>
              <w:rPr>
                <w:rFonts w:ascii="Arial" w:eastAsia="MS Mincho" w:hAnsi="Arial" w:cs="Arial"/>
                <w:sz w:val="18"/>
                <w:szCs w:val="18"/>
              </w:rPr>
            </w:pPr>
            <w:r w:rsidRPr="00C36A6B">
              <w:rPr>
                <w:rFonts w:ascii="Arial" w:eastAsia="MS Mincho" w:hAnsi="Arial" w:cs="Arial"/>
                <w:sz w:val="18"/>
                <w:szCs w:val="18"/>
              </w:rPr>
              <w:t xml:space="preserve">Quelles formes ce partenariat prend-il : lecture croisée des référentiels et des programmes ? réflexion croisée autour de la différenciation pédagogique ? mutualisation des pratiques ? échanges de services ? organisation spécifique de l’année ? </w:t>
            </w:r>
          </w:p>
          <w:p w14:paraId="225EDE22" w14:textId="77777777" w:rsidR="00C36A6B" w:rsidRDefault="00C36A6B" w:rsidP="00C36A6B">
            <w:pPr>
              <w:widowControl w:val="0"/>
              <w:numPr>
                <w:ilvl w:val="0"/>
                <w:numId w:val="3"/>
              </w:numPr>
              <w:tabs>
                <w:tab w:val="left" w:pos="323"/>
              </w:tabs>
              <w:ind w:left="318" w:right="170" w:hanging="227"/>
              <w:rPr>
                <w:rFonts w:ascii="Arial" w:eastAsia="MS Mincho" w:hAnsi="Arial" w:cs="Arial"/>
                <w:sz w:val="18"/>
                <w:szCs w:val="18"/>
              </w:rPr>
            </w:pPr>
            <w:r w:rsidRPr="00C36A6B">
              <w:rPr>
                <w:rFonts w:ascii="Arial" w:eastAsia="MS Mincho" w:hAnsi="Arial" w:cs="Arial"/>
                <w:sz w:val="18"/>
                <w:szCs w:val="18"/>
              </w:rPr>
              <w:t>Comment sont-ils formalisés, par exemple dans le cadre d’une cordée de la réussite ?</w:t>
            </w:r>
          </w:p>
          <w:p w14:paraId="39E35683" w14:textId="3C2CEBCD" w:rsidR="00C36A6B" w:rsidRPr="00C36A6B" w:rsidRDefault="00C36A6B" w:rsidP="00C36A6B">
            <w:pPr>
              <w:widowControl w:val="0"/>
              <w:numPr>
                <w:ilvl w:val="0"/>
                <w:numId w:val="3"/>
              </w:numPr>
              <w:tabs>
                <w:tab w:val="left" w:pos="323"/>
              </w:tabs>
              <w:ind w:left="318" w:right="170" w:hanging="227"/>
              <w:rPr>
                <w:rFonts w:ascii="Arial" w:eastAsia="MS Mincho" w:hAnsi="Arial" w:cs="Arial"/>
                <w:sz w:val="18"/>
                <w:szCs w:val="18"/>
              </w:rPr>
            </w:pPr>
            <w:r w:rsidRPr="00C36A6B">
              <w:rPr>
                <w:rFonts w:ascii="Arial" w:eastAsia="MS Mincho" w:hAnsi="Arial" w:cs="Arial"/>
                <w:sz w:val="18"/>
                <w:szCs w:val="18"/>
              </w:rPr>
              <w:t>Quelles actions sont mises en place dans le cadre du parcours de consolidation en BTS ?</w:t>
            </w:r>
          </w:p>
          <w:p w14:paraId="1CDAEEE7" w14:textId="77777777" w:rsidR="00DF3EB3" w:rsidRPr="00DF3EB3" w:rsidRDefault="00DF3EB3" w:rsidP="00C36A6B">
            <w:pPr>
              <w:widowControl w:val="0"/>
              <w:tabs>
                <w:tab w:val="left" w:pos="323"/>
              </w:tabs>
              <w:ind w:right="170"/>
              <w:rPr>
                <w:rFonts w:ascii="Arial" w:eastAsia="MS Mincho" w:hAnsi="Arial" w:cs="Arial"/>
                <w:sz w:val="18"/>
                <w:szCs w:val="18"/>
              </w:rPr>
            </w:pPr>
          </w:p>
          <w:p w14:paraId="3E341861" w14:textId="77777777" w:rsidR="00DF3EB3" w:rsidRPr="00406D08" w:rsidRDefault="00DF3EB3" w:rsidP="00DF3EB3">
            <w:pPr>
              <w:widowControl w:val="0"/>
              <w:tabs>
                <w:tab w:val="left" w:pos="323"/>
              </w:tabs>
              <w:ind w:right="170"/>
              <w:rPr>
                <w:rFonts w:ascii="Arial" w:eastAsia="MS Mincho" w:hAnsi="Arial" w:cs="Arial"/>
                <w:sz w:val="18"/>
                <w:szCs w:val="18"/>
              </w:rPr>
            </w:pPr>
          </w:p>
          <w:p w14:paraId="7A6FC8F5" w14:textId="77777777" w:rsidR="00DB56D0" w:rsidRDefault="00DB56D0" w:rsidP="009F1970">
            <w:pPr>
              <w:widowControl w:val="0"/>
              <w:tabs>
                <w:tab w:val="left" w:pos="323"/>
              </w:tabs>
              <w:rPr>
                <w:rFonts w:ascii="Arial" w:eastAsia="MS Mincho" w:hAnsi="Arial" w:cs="Arial"/>
                <w:sz w:val="18"/>
                <w:szCs w:val="18"/>
              </w:rPr>
            </w:pPr>
          </w:p>
          <w:p w14:paraId="3CE2AFA0" w14:textId="77777777" w:rsidR="00935DEE" w:rsidRPr="00935DEE" w:rsidRDefault="00935DEE" w:rsidP="00935DEE">
            <w:pPr>
              <w:rPr>
                <w:rFonts w:ascii="Arial" w:eastAsia="MS Mincho" w:hAnsi="Arial" w:cs="Arial"/>
                <w:sz w:val="18"/>
                <w:szCs w:val="18"/>
              </w:rPr>
            </w:pPr>
          </w:p>
          <w:p w14:paraId="3684D5E8" w14:textId="77777777" w:rsidR="00935DEE" w:rsidRDefault="00935DEE" w:rsidP="00935DEE">
            <w:pPr>
              <w:rPr>
                <w:rFonts w:ascii="Arial" w:eastAsia="MS Mincho" w:hAnsi="Arial" w:cs="Arial"/>
                <w:sz w:val="18"/>
                <w:szCs w:val="18"/>
              </w:rPr>
            </w:pPr>
          </w:p>
          <w:p w14:paraId="56F97E75" w14:textId="77777777" w:rsidR="00935DEE" w:rsidRPr="00935DEE" w:rsidRDefault="00935DEE" w:rsidP="00935DEE">
            <w:pPr>
              <w:rPr>
                <w:rFonts w:ascii="Arial" w:eastAsia="MS Mincho" w:hAnsi="Arial" w:cs="Arial"/>
                <w:sz w:val="18"/>
                <w:szCs w:val="18"/>
              </w:rPr>
            </w:pPr>
          </w:p>
          <w:p w14:paraId="556D56CA" w14:textId="5592DF68" w:rsidR="00935DEE" w:rsidRPr="00935DEE" w:rsidRDefault="00406D08" w:rsidP="00406D08">
            <w:pPr>
              <w:tabs>
                <w:tab w:val="left" w:pos="2595"/>
              </w:tabs>
              <w:ind w:firstLine="708"/>
              <w:rPr>
                <w:rFonts w:ascii="Arial" w:eastAsia="MS Mincho" w:hAnsi="Arial" w:cs="Arial"/>
                <w:sz w:val="18"/>
                <w:szCs w:val="18"/>
              </w:rPr>
            </w:pPr>
            <w:r>
              <w:rPr>
                <w:rFonts w:ascii="Arial" w:eastAsia="MS Mincho" w:hAnsi="Arial" w:cs="Arial"/>
                <w:sz w:val="18"/>
                <w:szCs w:val="18"/>
              </w:rPr>
              <w:tab/>
            </w:r>
          </w:p>
        </w:tc>
        <w:tc>
          <w:tcPr>
            <w:tcW w:w="236"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2740" w:type="dxa"/>
            <w:gridSpan w:val="2"/>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5F677E">
            <w:pPr>
              <w:spacing w:before="60"/>
              <w:ind w:left="79"/>
              <w:rPr>
                <w:rFonts w:ascii="Arial" w:hAnsi="Arial" w:cs="Arial"/>
                <w:b/>
                <w:color w:val="EE7444"/>
              </w:rPr>
            </w:pPr>
            <w:r w:rsidRPr="00401CCB">
              <w:rPr>
                <w:rFonts w:ascii="Arial" w:hAnsi="Arial" w:cs="Arial"/>
                <w:b/>
                <w:color w:val="EE7444"/>
              </w:rPr>
              <w:t xml:space="preserve">Exemples d’indicateurs </w:t>
            </w:r>
          </w:p>
          <w:p w14:paraId="3C5CA21A" w14:textId="77777777" w:rsidR="004B73D9" w:rsidRPr="00401CCB" w:rsidRDefault="004B73D9" w:rsidP="005F677E">
            <w:pPr>
              <w:spacing w:after="12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53D3B65A" w14:textId="77777777" w:rsidR="00353B6F" w:rsidRPr="00353B6F" w:rsidRDefault="00353B6F" w:rsidP="00353B6F">
            <w:pPr>
              <w:spacing w:before="120" w:after="60"/>
              <w:ind w:left="79"/>
              <w:rPr>
                <w:rFonts w:ascii="Arial" w:hAnsi="Arial" w:cs="Arial"/>
                <w:b/>
                <w:color w:val="EE7444"/>
                <w:sz w:val="18"/>
                <w:szCs w:val="18"/>
              </w:rPr>
            </w:pPr>
            <w:r w:rsidRPr="00353B6F">
              <w:rPr>
                <w:rFonts w:ascii="Arial" w:hAnsi="Arial" w:cs="Arial"/>
                <w:b/>
                <w:color w:val="EE7444"/>
                <w:sz w:val="18"/>
                <w:szCs w:val="18"/>
              </w:rPr>
              <w:t>Flux et parcours</w:t>
            </w:r>
          </w:p>
          <w:p w14:paraId="7C076AF1" w14:textId="77777777" w:rsidR="00353B6F" w:rsidRPr="00353B6F"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Part des bacheliers professionnels par spécialité de BTS</w:t>
            </w:r>
          </w:p>
          <w:p w14:paraId="439E8DFF" w14:textId="77777777" w:rsidR="00353B6F" w:rsidRPr="00353B6F"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Taux de poursuite après la première année de formation pour le bac pro et le BTS</w:t>
            </w:r>
          </w:p>
          <w:p w14:paraId="34BA3F96" w14:textId="77777777" w:rsidR="00353B6F" w:rsidRPr="00353B6F"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Profil des élèves/étudiants décrocheurs</w:t>
            </w:r>
          </w:p>
          <w:p w14:paraId="68263010" w14:textId="77777777" w:rsidR="00353B6F" w:rsidRPr="00353B6F" w:rsidRDefault="00353B6F" w:rsidP="00353B6F">
            <w:pPr>
              <w:spacing w:before="120" w:after="60"/>
              <w:ind w:left="79"/>
              <w:rPr>
                <w:rFonts w:ascii="Arial" w:hAnsi="Arial" w:cs="Arial"/>
                <w:b/>
                <w:color w:val="EE7444"/>
                <w:sz w:val="18"/>
                <w:szCs w:val="18"/>
              </w:rPr>
            </w:pPr>
            <w:r w:rsidRPr="00353B6F">
              <w:rPr>
                <w:rFonts w:ascii="Arial" w:hAnsi="Arial" w:cs="Arial"/>
                <w:b/>
                <w:color w:val="EE7444"/>
                <w:sz w:val="18"/>
                <w:szCs w:val="18"/>
              </w:rPr>
              <w:t>Réussite au diplôme</w:t>
            </w:r>
          </w:p>
          <w:p w14:paraId="1C0EB619" w14:textId="77777777" w:rsidR="00353B6F" w:rsidRPr="00353B6F"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Taux de réussite des CAP au bac pro et des bacheliers professionnels au BTS et des CAP et bacheliers professionnels en certificat de spécialisation</w:t>
            </w:r>
          </w:p>
          <w:p w14:paraId="7B6CA037" w14:textId="77777777" w:rsidR="00353B6F" w:rsidRPr="00353B6F"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 xml:space="preserve">Mise en relation de ce taux en avec les dispositifs mis en place (cordées de la réussite, parcours de consolidation en BTS…) </w:t>
            </w:r>
          </w:p>
          <w:p w14:paraId="496DE2AF" w14:textId="114B5498" w:rsidR="00BE65D0" w:rsidRPr="00401CCB"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Taux de poursuite d’études et d’insertion professionnelle des élèves ayant bénéficié d’une liaison, post-bac pro, post BTS et post-CS</w:t>
            </w:r>
          </w:p>
        </w:tc>
      </w:tr>
    </w:tbl>
    <w:p w14:paraId="3DE7EA64" w14:textId="77777777" w:rsidR="00DB56D0" w:rsidRDefault="00DB56D0" w:rsidP="00DB56D0"/>
    <w:tbl>
      <w:tblPr>
        <w:tblStyle w:val="Grilledutableau2"/>
        <w:tblW w:w="16160" w:type="dxa"/>
        <w:tblInd w:w="-732" w:type="dxa"/>
        <w:tblLayout w:type="fixed"/>
        <w:tblLook w:val="04A0" w:firstRow="1" w:lastRow="0" w:firstColumn="1" w:lastColumn="0" w:noHBand="0" w:noVBand="1"/>
      </w:tblPr>
      <w:tblGrid>
        <w:gridCol w:w="3686"/>
        <w:gridCol w:w="284"/>
        <w:gridCol w:w="9072"/>
        <w:gridCol w:w="236"/>
        <w:gridCol w:w="47"/>
        <w:gridCol w:w="2693"/>
        <w:gridCol w:w="142"/>
      </w:tblGrid>
      <w:tr w:rsidR="00300716" w:rsidRPr="00935DEE" w14:paraId="5D6B2049" w14:textId="77777777" w:rsidTr="00353B6F">
        <w:trPr>
          <w:trHeight w:hRule="exact" w:val="1372"/>
        </w:trPr>
        <w:tc>
          <w:tcPr>
            <w:tcW w:w="13042"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4A1CEB3F" w14:textId="210EF6C8" w:rsidR="00300716" w:rsidRPr="00935DEE" w:rsidRDefault="00300716" w:rsidP="00A952ED">
            <w:pPr>
              <w:keepNext/>
              <w:keepLines/>
              <w:spacing w:before="40" w:after="40"/>
              <w:outlineLvl w:val="1"/>
              <w:rPr>
                <w:rFonts w:ascii="Arial" w:eastAsia="Times New Roman" w:hAnsi="Arial" w:cs="Arial"/>
                <w:b/>
                <w:bCs/>
                <w:color w:val="00B5C6"/>
                <w:sz w:val="30"/>
                <w:szCs w:val="30"/>
              </w:rPr>
            </w:pPr>
            <w:r w:rsidRPr="009353BF">
              <w:rPr>
                <w:rFonts w:ascii="Arial" w:eastAsia="Times New Roman" w:hAnsi="Arial" w:cs="Arial"/>
                <w:b/>
                <w:bCs/>
                <w:color w:val="00B5C6"/>
                <w:sz w:val="30"/>
                <w:szCs w:val="30"/>
              </w:rPr>
              <w:t>1.</w:t>
            </w:r>
            <w:r w:rsidR="00353B6F">
              <w:rPr>
                <w:rFonts w:ascii="Arial" w:eastAsia="Times New Roman" w:hAnsi="Arial" w:cs="Arial"/>
                <w:b/>
                <w:bCs/>
                <w:color w:val="00B5C6"/>
                <w:sz w:val="30"/>
                <w:szCs w:val="30"/>
              </w:rPr>
              <w:t>10</w:t>
            </w:r>
            <w:r w:rsidRPr="009353BF">
              <w:rPr>
                <w:rFonts w:ascii="Arial" w:eastAsia="Times New Roman" w:hAnsi="Arial" w:cs="Arial"/>
                <w:b/>
                <w:bCs/>
                <w:color w:val="00B5C6"/>
                <w:sz w:val="30"/>
                <w:szCs w:val="30"/>
              </w:rPr>
              <w:t xml:space="preserve"> </w:t>
            </w:r>
            <w:r w:rsidR="00353B6F" w:rsidRPr="00353B6F">
              <w:rPr>
                <w:rFonts w:ascii="Arial" w:eastAsia="Times New Roman" w:hAnsi="Arial" w:cs="Arial"/>
                <w:b/>
                <w:bCs/>
                <w:color w:val="00B5C6"/>
                <w:sz w:val="30"/>
                <w:szCs w:val="30"/>
              </w:rPr>
              <w:t>Mettre en œuvre les liaisons CAP – BAC PRO, BAC PRO – BTS et certificats de spécialisation</w:t>
            </w:r>
            <w:r w:rsidR="00353B6F" w:rsidRPr="00353B6F">
              <w:rPr>
                <w:rFonts w:ascii="Arial" w:eastAsia="Times New Roman" w:hAnsi="Arial" w:cs="Arial"/>
                <w:b/>
                <w:bCs/>
                <w:color w:val="00B5C6"/>
                <w:sz w:val="30"/>
                <w:szCs w:val="30"/>
              </w:rPr>
              <w:t xml:space="preserve"> </w:t>
            </w:r>
            <w:r w:rsidRPr="00935DEE">
              <w:rPr>
                <w:rFonts w:ascii="Arial" w:eastAsia="Times New Roman" w:hAnsi="Arial" w:cs="Arial"/>
                <w:b/>
                <w:bCs/>
                <w:color w:val="00B5C6"/>
                <w:sz w:val="30"/>
                <w:szCs w:val="30"/>
              </w:rPr>
              <w:t>(</w:t>
            </w:r>
            <w:r>
              <w:rPr>
                <w:rFonts w:ascii="Arial" w:eastAsia="Times New Roman" w:hAnsi="Arial" w:cs="Arial"/>
                <w:b/>
                <w:bCs/>
                <w:color w:val="00B5C6"/>
                <w:sz w:val="30"/>
                <w:szCs w:val="30"/>
              </w:rPr>
              <w:t>2</w:t>
            </w:r>
            <w:r w:rsidRPr="00935DEE">
              <w:rPr>
                <w:rFonts w:ascii="Arial" w:eastAsia="Times New Roman" w:hAnsi="Arial" w:cs="Arial"/>
                <w:b/>
                <w:bCs/>
                <w:color w:val="00B5C6"/>
                <w:sz w:val="30"/>
                <w:szCs w:val="30"/>
              </w:rPr>
              <w:t>/2)</w:t>
            </w:r>
          </w:p>
          <w:p w14:paraId="5279AB39" w14:textId="5FC22737" w:rsidR="00300716" w:rsidRPr="00300716" w:rsidRDefault="00353B6F" w:rsidP="00A952ED">
            <w:pPr>
              <w:contextualSpacing/>
              <w:rPr>
                <w:rFonts w:ascii="Arial" w:hAnsi="Arial" w:cs="Arial"/>
                <w:sz w:val="14"/>
                <w:szCs w:val="14"/>
                <w:lang w:eastAsia="en-US"/>
              </w:rPr>
            </w:pPr>
            <w:hyperlink r:id="rId17" w:history="1">
              <w:r w:rsidRPr="000679DA">
                <w:rPr>
                  <w:rStyle w:val="Lienhypertexte"/>
                  <w:rFonts w:ascii="Arial" w:hAnsi="Arial" w:cs="Arial"/>
                  <w:sz w:val="14"/>
                  <w:szCs w:val="14"/>
                </w:rPr>
                <w:t>Articles L. 612-3</w:t>
              </w:r>
            </w:hyperlink>
            <w:r w:rsidRPr="000679DA">
              <w:rPr>
                <w:rStyle w:val="Lienhypertexte"/>
                <w:rFonts w:ascii="Arial" w:hAnsi="Arial" w:cs="Arial"/>
                <w:sz w:val="14"/>
                <w:szCs w:val="14"/>
              </w:rPr>
              <w:t>,</w:t>
            </w:r>
            <w:r w:rsidRPr="000679DA">
              <w:rPr>
                <w:rFonts w:ascii="Arial" w:hAnsi="Arial" w:cs="Arial"/>
                <w:sz w:val="14"/>
                <w:szCs w:val="14"/>
              </w:rPr>
              <w:t xml:space="preserve"> </w:t>
            </w:r>
            <w:hyperlink r:id="rId18" w:history="1">
              <w:r w:rsidRPr="000679DA">
                <w:rPr>
                  <w:rStyle w:val="Lienhypertexte"/>
                  <w:rFonts w:ascii="Arial" w:hAnsi="Arial" w:cs="Arial"/>
                  <w:sz w:val="14"/>
                  <w:szCs w:val="14"/>
                </w:rPr>
                <w:t xml:space="preserve"> L111</w:t>
              </w:r>
            </w:hyperlink>
            <w:r w:rsidRPr="000679DA">
              <w:rPr>
                <w:rStyle w:val="Lienhypertexte"/>
                <w:rFonts w:ascii="Arial" w:hAnsi="Arial" w:cs="Arial"/>
                <w:sz w:val="14"/>
                <w:szCs w:val="14"/>
              </w:rPr>
              <w:t>-1</w:t>
            </w:r>
            <w:r w:rsidRPr="000679DA">
              <w:rPr>
                <w:rFonts w:ascii="Arial" w:hAnsi="Arial" w:cs="Arial"/>
                <w:sz w:val="14"/>
                <w:szCs w:val="14"/>
              </w:rPr>
              <w:t xml:space="preserve">, </w:t>
            </w:r>
            <w:hyperlink r:id="rId19" w:history="1">
              <w:r w:rsidRPr="000679DA">
                <w:rPr>
                  <w:rStyle w:val="Lienhypertexte"/>
                  <w:rFonts w:ascii="Arial" w:hAnsi="Arial" w:cs="Arial"/>
                  <w:sz w:val="14"/>
                  <w:szCs w:val="14"/>
                </w:rPr>
                <w:t>D612-30</w:t>
              </w:r>
            </w:hyperlink>
            <w:r w:rsidRPr="000679DA">
              <w:rPr>
                <w:rFonts w:ascii="Arial" w:hAnsi="Arial" w:cs="Arial"/>
                <w:sz w:val="14"/>
                <w:szCs w:val="14"/>
              </w:rPr>
              <w:t xml:space="preserve">, </w:t>
            </w:r>
            <w:hyperlink r:id="rId20" w:history="1">
              <w:r w:rsidRPr="000679DA">
                <w:rPr>
                  <w:rStyle w:val="Lienhypertexte"/>
                  <w:rFonts w:ascii="Arial" w:hAnsi="Arial" w:cs="Arial"/>
                  <w:sz w:val="14"/>
                  <w:szCs w:val="14"/>
                </w:rPr>
                <w:t>art. D612-31</w:t>
              </w:r>
            </w:hyperlink>
            <w:r w:rsidRPr="000679DA">
              <w:rPr>
                <w:rFonts w:ascii="Arial" w:hAnsi="Arial" w:cs="Arial"/>
                <w:sz w:val="14"/>
                <w:szCs w:val="14"/>
              </w:rPr>
              <w:t xml:space="preserve"> du code de l’éducation. A</w:t>
            </w:r>
            <w:hyperlink r:id="rId21" w:history="1">
              <w:r w:rsidRPr="000679DA">
                <w:rPr>
                  <w:rStyle w:val="Lienhypertexte"/>
                  <w:rFonts w:ascii="Arial" w:hAnsi="Arial" w:cs="Arial"/>
                  <w:sz w:val="14"/>
                  <w:szCs w:val="14"/>
                </w:rPr>
                <w:t>rrêté modifié du 21 novembre 2018</w:t>
              </w:r>
            </w:hyperlink>
            <w:r w:rsidRPr="000679DA">
              <w:rPr>
                <w:rFonts w:ascii="Arial" w:hAnsi="Arial" w:cs="Arial"/>
                <w:sz w:val="14"/>
                <w:szCs w:val="14"/>
              </w:rPr>
              <w:t xml:space="preserve"> relatif aux enseignements dispensés dans les formations sous statut scolaire préparant au baccalauréat professionnel   </w:t>
            </w:r>
            <w:hyperlink r:id="rId22" w:history="1">
              <w:r w:rsidRPr="000679DA">
                <w:rPr>
                  <w:rStyle w:val="Lienhypertexte"/>
                  <w:rFonts w:ascii="Arial" w:hAnsi="Arial" w:cs="Arial"/>
                  <w:sz w:val="14"/>
                  <w:szCs w:val="14"/>
                </w:rPr>
                <w:t>Arrêté modifié du 21 novembre 2018</w:t>
              </w:r>
            </w:hyperlink>
            <w:r w:rsidRPr="000679DA">
              <w:rPr>
                <w:rFonts w:ascii="Arial" w:hAnsi="Arial" w:cs="Arial"/>
                <w:sz w:val="14"/>
                <w:szCs w:val="14"/>
              </w:rPr>
              <w:t xml:space="preserve"> relatif aux enseignements dispensés dans les formations sous statut scolaire préparant au certificat d’aptitude professionnelle. Circulaire </w:t>
            </w:r>
            <w:hyperlink r:id="rId23" w:history="1">
              <w:r w:rsidRPr="000679DA">
                <w:rPr>
                  <w:rStyle w:val="Lienhypertexte"/>
                  <w:rFonts w:ascii="Arial" w:hAnsi="Arial" w:cs="Arial"/>
                  <w:iCs/>
                  <w:sz w:val="14"/>
                  <w:szCs w:val="14"/>
                </w:rPr>
                <w:t>n° 2016-055 du 29-3-2016</w:t>
              </w:r>
            </w:hyperlink>
            <w:r w:rsidRPr="000679DA">
              <w:rPr>
                <w:rFonts w:ascii="Arial" w:hAnsi="Arial" w:cs="Arial"/>
                <w:iCs/>
                <w:sz w:val="14"/>
                <w:szCs w:val="14"/>
                <w:u w:val="single"/>
              </w:rPr>
              <w:t xml:space="preserve"> </w:t>
            </w:r>
            <w:r w:rsidRPr="000679DA">
              <w:rPr>
                <w:rFonts w:ascii="Arial" w:hAnsi="Arial" w:cs="Arial"/>
                <w:sz w:val="14"/>
                <w:szCs w:val="14"/>
              </w:rPr>
              <w:t xml:space="preserve">(réussir l’entrée au lycée professionnel). Note de service </w:t>
            </w:r>
            <w:hyperlink r:id="rId24" w:history="1">
              <w:r w:rsidRPr="000679DA">
                <w:rPr>
                  <w:rStyle w:val="Lienhypertexte"/>
                  <w:rFonts w:ascii="Arial" w:hAnsi="Arial" w:cs="Arial"/>
                  <w:sz w:val="14"/>
                  <w:szCs w:val="14"/>
                </w:rPr>
                <w:t>du 4-3-2024</w:t>
              </w:r>
            </w:hyperlink>
            <w:r w:rsidRPr="000679DA">
              <w:rPr>
                <w:rFonts w:ascii="Arial" w:hAnsi="Arial" w:cs="Arial"/>
                <w:sz w:val="14"/>
                <w:szCs w:val="14"/>
              </w:rPr>
              <w:t xml:space="preserve"> (parcours différencié Terminale baccalauréat professionnel)</w:t>
            </w:r>
          </w:p>
        </w:tc>
        <w:tc>
          <w:tcPr>
            <w:tcW w:w="236" w:type="dxa"/>
            <w:tcBorders>
              <w:top w:val="nil"/>
              <w:left w:val="single" w:sz="18" w:space="0" w:color="00B5C6"/>
              <w:bottom w:val="nil"/>
              <w:right w:val="nil"/>
            </w:tcBorders>
            <w:shd w:val="clear" w:color="auto" w:fill="auto"/>
          </w:tcPr>
          <w:p w14:paraId="20AA93A8" w14:textId="77777777" w:rsidR="00300716" w:rsidRPr="00935DEE" w:rsidRDefault="00300716" w:rsidP="00A952ED">
            <w:pPr>
              <w:rPr>
                <w:rFonts w:asciiTheme="minorHAnsi" w:hAnsiTheme="minorHAnsi"/>
                <w:sz w:val="17"/>
                <w:szCs w:val="17"/>
              </w:rPr>
            </w:pPr>
          </w:p>
        </w:tc>
        <w:tc>
          <w:tcPr>
            <w:tcW w:w="2882" w:type="dxa"/>
            <w:gridSpan w:val="3"/>
            <w:tcBorders>
              <w:top w:val="nil"/>
              <w:left w:val="nil"/>
              <w:bottom w:val="nil"/>
              <w:right w:val="nil"/>
            </w:tcBorders>
            <w:shd w:val="clear" w:color="auto" w:fill="auto"/>
            <w:vAlign w:val="center"/>
          </w:tcPr>
          <w:p w14:paraId="4AEF67BA" w14:textId="77777777" w:rsidR="00300716" w:rsidRPr="00935DEE" w:rsidRDefault="00300716" w:rsidP="00A952ED">
            <w:pPr>
              <w:ind w:left="83" w:right="693"/>
              <w:jc w:val="center"/>
              <w:rPr>
                <w:rFonts w:asciiTheme="minorHAnsi" w:hAnsiTheme="minorHAnsi"/>
                <w:b/>
                <w:color w:val="FFFFFF"/>
                <w:sz w:val="24"/>
                <w:szCs w:val="24"/>
              </w:rPr>
            </w:pPr>
            <w:r w:rsidRPr="00935DEE">
              <w:rPr>
                <w:noProof/>
                <w:lang w:eastAsia="fr-FR"/>
              </w:rPr>
              <w:drawing>
                <wp:inline distT="0" distB="0" distL="0" distR="0" wp14:anchorId="673C0522" wp14:editId="049DE07E">
                  <wp:extent cx="1438275" cy="57150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300716" w:rsidRPr="00935DEE" w14:paraId="048F3E6A" w14:textId="77777777" w:rsidTr="00353B6F">
        <w:trPr>
          <w:gridAfter w:val="1"/>
          <w:wAfter w:w="142" w:type="dxa"/>
          <w:trHeight w:val="57"/>
        </w:trPr>
        <w:tc>
          <w:tcPr>
            <w:tcW w:w="3686" w:type="dxa"/>
            <w:tcBorders>
              <w:top w:val="nil"/>
              <w:left w:val="nil"/>
              <w:bottom w:val="single" w:sz="24" w:space="0" w:color="951B81"/>
              <w:right w:val="nil"/>
            </w:tcBorders>
            <w:shd w:val="clear" w:color="auto" w:fill="auto"/>
          </w:tcPr>
          <w:p w14:paraId="71C288ED" w14:textId="77777777" w:rsidR="00300716" w:rsidRPr="00935DEE" w:rsidRDefault="00300716" w:rsidP="00A952ED">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4F0BE854" w14:textId="77777777" w:rsidR="00300716" w:rsidRPr="00935DEE" w:rsidRDefault="00300716" w:rsidP="00A952ED">
            <w:pPr>
              <w:rPr>
                <w:rFonts w:asciiTheme="minorHAnsi" w:hAnsiTheme="minorHAnsi"/>
                <w:sz w:val="8"/>
                <w:szCs w:val="8"/>
              </w:rPr>
            </w:pPr>
          </w:p>
        </w:tc>
        <w:tc>
          <w:tcPr>
            <w:tcW w:w="9072" w:type="dxa"/>
            <w:tcBorders>
              <w:top w:val="nil"/>
              <w:left w:val="nil"/>
              <w:bottom w:val="single" w:sz="24" w:space="0" w:color="2AAC66"/>
              <w:right w:val="nil"/>
            </w:tcBorders>
            <w:shd w:val="clear" w:color="auto" w:fill="auto"/>
          </w:tcPr>
          <w:p w14:paraId="16DCBEA7" w14:textId="77777777" w:rsidR="00300716" w:rsidRPr="00935DEE" w:rsidRDefault="00300716" w:rsidP="00A952ED">
            <w:pPr>
              <w:rPr>
                <w:rFonts w:asciiTheme="minorHAnsi" w:hAnsiTheme="minorHAnsi"/>
                <w:b/>
                <w:color w:val="FFFFFF"/>
                <w:sz w:val="8"/>
                <w:szCs w:val="8"/>
              </w:rPr>
            </w:pPr>
          </w:p>
        </w:tc>
        <w:tc>
          <w:tcPr>
            <w:tcW w:w="283" w:type="dxa"/>
            <w:gridSpan w:val="2"/>
            <w:tcBorders>
              <w:top w:val="nil"/>
              <w:left w:val="nil"/>
              <w:bottom w:val="nil"/>
              <w:right w:val="nil"/>
            </w:tcBorders>
            <w:shd w:val="clear" w:color="auto" w:fill="auto"/>
          </w:tcPr>
          <w:p w14:paraId="2D8AC1DE" w14:textId="77777777" w:rsidR="00300716" w:rsidRPr="00935DEE" w:rsidRDefault="00300716" w:rsidP="00A952ED">
            <w:pPr>
              <w:rPr>
                <w:rFonts w:asciiTheme="minorHAnsi" w:hAnsiTheme="minorHAnsi"/>
                <w:sz w:val="8"/>
                <w:szCs w:val="8"/>
              </w:rPr>
            </w:pPr>
          </w:p>
        </w:tc>
        <w:tc>
          <w:tcPr>
            <w:tcW w:w="2693" w:type="dxa"/>
            <w:tcBorders>
              <w:top w:val="nil"/>
              <w:left w:val="nil"/>
              <w:bottom w:val="single" w:sz="24" w:space="0" w:color="EE7444"/>
              <w:right w:val="nil"/>
            </w:tcBorders>
            <w:shd w:val="clear" w:color="auto" w:fill="auto"/>
          </w:tcPr>
          <w:p w14:paraId="3F3C3A24" w14:textId="77777777" w:rsidR="00300716" w:rsidRPr="00935DEE" w:rsidRDefault="00300716" w:rsidP="00A952ED">
            <w:pPr>
              <w:rPr>
                <w:rFonts w:asciiTheme="minorHAnsi" w:hAnsiTheme="minorHAnsi"/>
                <w:b/>
                <w:color w:val="FFFFFF"/>
                <w:sz w:val="8"/>
                <w:szCs w:val="8"/>
              </w:rPr>
            </w:pPr>
          </w:p>
        </w:tc>
      </w:tr>
      <w:tr w:rsidR="00300716" w:rsidRPr="00935DEE" w14:paraId="1CA2790C" w14:textId="77777777" w:rsidTr="00353B6F">
        <w:trPr>
          <w:gridAfter w:val="1"/>
          <w:wAfter w:w="142" w:type="dxa"/>
          <w:trHeight w:hRule="exact" w:val="573"/>
        </w:trPr>
        <w:tc>
          <w:tcPr>
            <w:tcW w:w="3686" w:type="dxa"/>
            <w:tcBorders>
              <w:top w:val="single" w:sz="24" w:space="0" w:color="951B81"/>
              <w:left w:val="single" w:sz="24" w:space="0" w:color="951B81"/>
              <w:bottom w:val="single" w:sz="24" w:space="0" w:color="951B81"/>
              <w:right w:val="single" w:sz="24" w:space="0" w:color="951B81"/>
            </w:tcBorders>
            <w:shd w:val="pct20" w:color="951B81" w:fill="auto"/>
          </w:tcPr>
          <w:p w14:paraId="065A18FE" w14:textId="77777777" w:rsidR="00300716" w:rsidRPr="00935DEE" w:rsidRDefault="00300716" w:rsidP="00A952ED">
            <w:pPr>
              <w:ind w:right="-108"/>
              <w:rPr>
                <w:rFonts w:ascii="Arial" w:hAnsi="Arial" w:cs="Arial"/>
                <w:color w:val="951B81"/>
              </w:rPr>
            </w:pPr>
            <w:r w:rsidRPr="00935DEE">
              <w:rPr>
                <w:rFonts w:ascii="Arial" w:hAnsi="Arial" w:cs="Arial"/>
                <w:b/>
                <w:color w:val="951B81"/>
                <w:sz w:val="44"/>
                <w:szCs w:val="44"/>
              </w:rPr>
              <w:t>Plan</w:t>
            </w:r>
            <w:r w:rsidRPr="00935DEE">
              <w:rPr>
                <w:rFonts w:ascii="Arial" w:hAnsi="Arial" w:cs="Arial"/>
                <w:b/>
                <w:color w:val="951B81"/>
                <w:sz w:val="24"/>
                <w:szCs w:val="24"/>
              </w:rPr>
              <w:t xml:space="preserve"> </w:t>
            </w:r>
            <w:r w:rsidRPr="00935DEE">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497D6964" w14:textId="77777777" w:rsidR="00300716" w:rsidRPr="00935DEE" w:rsidRDefault="00300716" w:rsidP="00A952ED">
            <w:pPr>
              <w:rPr>
                <w:rFonts w:ascii="Arial" w:hAnsi="Arial" w:cs="Arial"/>
                <w:sz w:val="17"/>
                <w:szCs w:val="17"/>
              </w:rPr>
            </w:pPr>
          </w:p>
        </w:tc>
        <w:tc>
          <w:tcPr>
            <w:tcW w:w="9072" w:type="dxa"/>
            <w:tcBorders>
              <w:top w:val="single" w:sz="24" w:space="0" w:color="2AAC66"/>
              <w:left w:val="single" w:sz="24" w:space="0" w:color="2AAC66"/>
              <w:bottom w:val="single" w:sz="24" w:space="0" w:color="2AAC66"/>
              <w:right w:val="single" w:sz="24" w:space="0" w:color="2AAC66"/>
            </w:tcBorders>
            <w:shd w:val="pct20" w:color="2AAC66" w:fill="auto"/>
          </w:tcPr>
          <w:p w14:paraId="6B41061B" w14:textId="77777777" w:rsidR="00300716" w:rsidRPr="00935DEE" w:rsidRDefault="00300716" w:rsidP="00A952ED">
            <w:pPr>
              <w:rPr>
                <w:rFonts w:ascii="Arial" w:hAnsi="Arial" w:cs="Arial"/>
                <w:color w:val="2AAC66"/>
              </w:rPr>
            </w:pPr>
            <w:r w:rsidRPr="00935DEE">
              <w:rPr>
                <w:rFonts w:ascii="Arial" w:hAnsi="Arial" w:cs="Arial"/>
                <w:b/>
                <w:color w:val="2AAC66"/>
                <w:sz w:val="44"/>
                <w:szCs w:val="44"/>
              </w:rPr>
              <w:t>Do</w:t>
            </w:r>
            <w:r w:rsidRPr="00935DEE">
              <w:rPr>
                <w:rFonts w:ascii="Arial" w:hAnsi="Arial" w:cs="Arial"/>
                <w:b/>
                <w:color w:val="2AAC66"/>
                <w:sz w:val="24"/>
                <w:szCs w:val="24"/>
              </w:rPr>
              <w:t xml:space="preserve"> </w:t>
            </w:r>
            <w:r w:rsidRPr="00935DEE">
              <w:rPr>
                <w:rFonts w:ascii="Arial" w:hAnsi="Arial" w:cs="Arial"/>
                <w:color w:val="2AAC66"/>
                <w:sz w:val="24"/>
                <w:szCs w:val="24"/>
              </w:rPr>
              <w:t>Mettre en œuvre</w:t>
            </w:r>
          </w:p>
        </w:tc>
        <w:tc>
          <w:tcPr>
            <w:tcW w:w="283" w:type="dxa"/>
            <w:gridSpan w:val="2"/>
            <w:tcBorders>
              <w:top w:val="nil"/>
              <w:left w:val="single" w:sz="24" w:space="0" w:color="2AAC66"/>
              <w:bottom w:val="nil"/>
              <w:right w:val="single" w:sz="24" w:space="0" w:color="EE7444"/>
            </w:tcBorders>
          </w:tcPr>
          <w:p w14:paraId="38941F6A" w14:textId="77777777" w:rsidR="00300716" w:rsidRPr="00935DEE" w:rsidRDefault="00300716" w:rsidP="00A952ED">
            <w:pPr>
              <w:rPr>
                <w:rFonts w:ascii="Arial" w:hAnsi="Arial" w:cs="Arial"/>
                <w:sz w:val="17"/>
                <w:szCs w:val="17"/>
              </w:rPr>
            </w:pPr>
          </w:p>
        </w:tc>
        <w:tc>
          <w:tcPr>
            <w:tcW w:w="2693" w:type="dxa"/>
            <w:tcBorders>
              <w:top w:val="single" w:sz="24" w:space="0" w:color="EE7444"/>
              <w:left w:val="single" w:sz="24" w:space="0" w:color="EE7444"/>
              <w:bottom w:val="single" w:sz="24" w:space="0" w:color="EE7444"/>
              <w:right w:val="single" w:sz="24" w:space="0" w:color="EE7444"/>
            </w:tcBorders>
            <w:shd w:val="pct20" w:color="EE7444" w:fill="auto"/>
          </w:tcPr>
          <w:p w14:paraId="2585E4AD" w14:textId="77777777" w:rsidR="00300716" w:rsidRPr="00935DEE" w:rsidRDefault="00300716" w:rsidP="00A952ED">
            <w:pPr>
              <w:rPr>
                <w:rFonts w:ascii="Arial" w:hAnsi="Arial" w:cs="Arial"/>
                <w:b/>
                <w:color w:val="FFFFFF"/>
                <w:sz w:val="44"/>
                <w:szCs w:val="44"/>
              </w:rPr>
            </w:pPr>
            <w:r w:rsidRPr="00935DEE">
              <w:rPr>
                <w:rFonts w:ascii="Arial" w:hAnsi="Arial" w:cs="Arial"/>
                <w:b/>
                <w:color w:val="EE7444"/>
                <w:sz w:val="44"/>
                <w:szCs w:val="44"/>
              </w:rPr>
              <w:t xml:space="preserve">Check </w:t>
            </w:r>
            <w:r w:rsidRPr="00935DEE">
              <w:rPr>
                <w:rFonts w:ascii="Arial" w:hAnsi="Arial" w:cs="Arial"/>
                <w:color w:val="EE7444"/>
                <w:sz w:val="24"/>
                <w:szCs w:val="24"/>
              </w:rPr>
              <w:t>Évaluer</w:t>
            </w:r>
          </w:p>
        </w:tc>
      </w:tr>
      <w:tr w:rsidR="00300716" w:rsidRPr="00935DEE" w14:paraId="2D59C089" w14:textId="77777777" w:rsidTr="00353B6F">
        <w:trPr>
          <w:gridAfter w:val="1"/>
          <w:wAfter w:w="142" w:type="dxa"/>
          <w:trHeight w:hRule="exact" w:val="7479"/>
        </w:trPr>
        <w:tc>
          <w:tcPr>
            <w:tcW w:w="3686" w:type="dxa"/>
            <w:tcBorders>
              <w:top w:val="single" w:sz="24" w:space="0" w:color="951B81"/>
              <w:left w:val="single" w:sz="24" w:space="0" w:color="951B81"/>
              <w:bottom w:val="single" w:sz="24" w:space="0" w:color="951B81"/>
              <w:right w:val="single" w:sz="24" w:space="0" w:color="951B81"/>
            </w:tcBorders>
          </w:tcPr>
          <w:p w14:paraId="200A7DAE" w14:textId="77777777" w:rsidR="00300716" w:rsidRPr="00935DEE" w:rsidRDefault="00300716" w:rsidP="00A952ED">
            <w:pPr>
              <w:spacing w:before="60" w:after="120"/>
              <w:rPr>
                <w:rFonts w:ascii="Arial" w:hAnsi="Arial" w:cs="Arial"/>
                <w:b/>
                <w:color w:val="951B81"/>
              </w:rPr>
            </w:pPr>
            <w:r w:rsidRPr="00935DEE">
              <w:rPr>
                <w:rFonts w:ascii="Arial" w:hAnsi="Arial" w:cs="Arial"/>
                <w:b/>
                <w:color w:val="951B81"/>
              </w:rPr>
              <w:t>Contexte, stratégie, sens, objectifs</w:t>
            </w:r>
          </w:p>
          <w:p w14:paraId="3BC5FCD8" w14:textId="77777777" w:rsidR="00353B6F" w:rsidRPr="00353B6F" w:rsidRDefault="00353B6F" w:rsidP="00353B6F">
            <w:pPr>
              <w:widowControl w:val="0"/>
              <w:tabs>
                <w:tab w:val="left" w:pos="323"/>
              </w:tabs>
              <w:spacing w:after="120"/>
              <w:ind w:right="170"/>
              <w:rPr>
                <w:rFonts w:ascii="Arial" w:eastAsia="MS Mincho" w:hAnsi="Arial" w:cs="Arial"/>
                <w:sz w:val="18"/>
                <w:szCs w:val="18"/>
              </w:rPr>
            </w:pPr>
            <w:r w:rsidRPr="00353B6F">
              <w:rPr>
                <w:rFonts w:ascii="Arial" w:eastAsia="MS Mincho" w:hAnsi="Arial" w:cs="Arial"/>
                <w:sz w:val="18"/>
                <w:szCs w:val="18"/>
              </w:rPr>
              <w:t>La voie professionnelle propose des diplômes qui permettent une insertion professionnelle directe. Elle doit également favoriser pour ceux qui le souhaitent une poursuite d’études pour obtenir d’obtenir une qualification supérieure.</w:t>
            </w:r>
          </w:p>
          <w:p w14:paraId="3581ADD5" w14:textId="77777777" w:rsidR="00353B6F" w:rsidRPr="00353B6F" w:rsidRDefault="00353B6F" w:rsidP="00353B6F">
            <w:pPr>
              <w:widowControl w:val="0"/>
              <w:tabs>
                <w:tab w:val="left" w:pos="323"/>
              </w:tabs>
              <w:spacing w:after="120"/>
              <w:ind w:right="170"/>
              <w:rPr>
                <w:rFonts w:ascii="Arial" w:eastAsia="MS Mincho" w:hAnsi="Arial" w:cs="Arial"/>
                <w:sz w:val="18"/>
                <w:szCs w:val="18"/>
              </w:rPr>
            </w:pPr>
            <w:r w:rsidRPr="00353B6F">
              <w:rPr>
                <w:rFonts w:ascii="Arial" w:eastAsia="MS Mincho" w:hAnsi="Arial" w:cs="Arial"/>
                <w:sz w:val="18"/>
                <w:szCs w:val="18"/>
              </w:rPr>
              <w:t>Le baccalauréat professionnel, comme les baccalauréats général et technologique, constitue le grade universitaire et donne accès de droit à l’enseignement supérieur.</w:t>
            </w:r>
          </w:p>
          <w:p w14:paraId="4AF6832B" w14:textId="77777777" w:rsidR="00353B6F" w:rsidRPr="00353B6F" w:rsidRDefault="00353B6F" w:rsidP="00353B6F">
            <w:pPr>
              <w:widowControl w:val="0"/>
              <w:tabs>
                <w:tab w:val="left" w:pos="323"/>
              </w:tabs>
              <w:spacing w:after="120"/>
              <w:ind w:right="170"/>
              <w:rPr>
                <w:rFonts w:ascii="Arial" w:eastAsia="MS Mincho" w:hAnsi="Arial" w:cs="Arial"/>
                <w:sz w:val="18"/>
                <w:szCs w:val="18"/>
              </w:rPr>
            </w:pPr>
            <w:r w:rsidRPr="00353B6F">
              <w:rPr>
                <w:rFonts w:ascii="Arial" w:eastAsia="MS Mincho" w:hAnsi="Arial" w:cs="Arial"/>
                <w:sz w:val="18"/>
                <w:szCs w:val="18"/>
              </w:rPr>
              <w:t>Les régions académiques travaillent en concertation avec les régions pour offrir des parcours de formation tenant compte de la double finalité des diplômes, insertion et poursuite d’études. Elles sont encouragées à développer des formations conduisant à des certificats de spécialisation post-CAP et post-bac.</w:t>
            </w:r>
          </w:p>
          <w:p w14:paraId="6E12EAB3" w14:textId="77777777" w:rsidR="00353B6F" w:rsidRPr="00353B6F" w:rsidRDefault="00353B6F" w:rsidP="00353B6F">
            <w:pPr>
              <w:widowControl w:val="0"/>
              <w:tabs>
                <w:tab w:val="left" w:pos="323"/>
              </w:tabs>
              <w:spacing w:after="120"/>
              <w:ind w:right="170"/>
              <w:rPr>
                <w:rFonts w:ascii="Arial" w:eastAsia="MS Mincho" w:hAnsi="Arial" w:cs="Arial"/>
                <w:sz w:val="18"/>
                <w:szCs w:val="18"/>
              </w:rPr>
            </w:pPr>
            <w:r w:rsidRPr="00353B6F">
              <w:rPr>
                <w:rFonts w:ascii="Arial" w:eastAsia="MS Mincho" w:hAnsi="Arial" w:cs="Arial"/>
                <w:sz w:val="18"/>
                <w:szCs w:val="18"/>
              </w:rPr>
              <w:t>Dans ce contexte, les liaisons CAP-bac pro et bac pro-BTS nécessitent l’élaboration de stratégies concertées entre les établissements, les régions académiques et les régions.</w:t>
            </w:r>
          </w:p>
          <w:p w14:paraId="66C2CC50" w14:textId="6DF0512D" w:rsidR="00353B6F" w:rsidRPr="00353B6F" w:rsidRDefault="00353B6F" w:rsidP="00353B6F">
            <w:pPr>
              <w:widowControl w:val="0"/>
              <w:numPr>
                <w:ilvl w:val="0"/>
                <w:numId w:val="3"/>
              </w:numPr>
              <w:tabs>
                <w:tab w:val="left" w:pos="323"/>
              </w:tabs>
              <w:spacing w:after="120"/>
              <w:ind w:left="284" w:right="170" w:hanging="193"/>
              <w:rPr>
                <w:rFonts w:ascii="Arial" w:eastAsia="MS Mincho" w:hAnsi="Arial" w:cs="Arial"/>
                <w:sz w:val="18"/>
                <w:szCs w:val="18"/>
              </w:rPr>
            </w:pPr>
            <w:r w:rsidRPr="00353B6F">
              <w:rPr>
                <w:rFonts w:ascii="Arial" w:eastAsia="MS Mincho" w:hAnsi="Arial" w:cs="Arial"/>
                <w:sz w:val="18"/>
                <w:szCs w:val="18"/>
              </w:rPr>
              <w:t>L</w:t>
            </w:r>
            <w:r w:rsidR="00DF3EB3">
              <w:rPr>
                <w:rFonts w:ascii="Arial" w:eastAsia="MS Mincho" w:hAnsi="Arial" w:cs="Arial"/>
                <w:sz w:val="18"/>
                <w:szCs w:val="18"/>
              </w:rPr>
              <w:t>es</w:t>
            </w:r>
            <w:r w:rsidRPr="00353B6F">
              <w:rPr>
                <w:rFonts w:ascii="Arial" w:eastAsia="MS Mincho" w:hAnsi="Arial" w:cs="Arial"/>
                <w:color w:val="C00000"/>
                <w:sz w:val="18"/>
                <w:szCs w:val="18"/>
              </w:rPr>
              <w:t xml:space="preserve"> </w:t>
            </w:r>
            <w:r w:rsidRPr="00353B6F">
              <w:rPr>
                <w:rFonts w:ascii="Arial" w:eastAsia="MS Mincho" w:hAnsi="Arial" w:cs="Arial"/>
                <w:sz w:val="18"/>
                <w:szCs w:val="18"/>
              </w:rPr>
              <w:t>liaison</w:t>
            </w:r>
            <w:r w:rsidR="00DF3EB3">
              <w:rPr>
                <w:rFonts w:ascii="Arial" w:eastAsia="MS Mincho" w:hAnsi="Arial" w:cs="Arial"/>
                <w:sz w:val="18"/>
                <w:szCs w:val="18"/>
              </w:rPr>
              <w:t>s</w:t>
            </w:r>
            <w:r w:rsidRPr="00353B6F">
              <w:rPr>
                <w:rFonts w:ascii="Arial" w:eastAsia="MS Mincho" w:hAnsi="Arial" w:cs="Arial"/>
                <w:sz w:val="18"/>
                <w:szCs w:val="18"/>
              </w:rPr>
              <w:t xml:space="preserve"> f</w:t>
            </w:r>
            <w:r w:rsidR="00DF3EB3">
              <w:rPr>
                <w:rFonts w:ascii="Arial" w:eastAsia="MS Mincho" w:hAnsi="Arial" w:cs="Arial"/>
                <w:sz w:val="18"/>
                <w:szCs w:val="18"/>
              </w:rPr>
              <w:t>on</w:t>
            </w:r>
            <w:r w:rsidRPr="00353B6F">
              <w:rPr>
                <w:rFonts w:ascii="Arial" w:eastAsia="MS Mincho" w:hAnsi="Arial" w:cs="Arial"/>
                <w:sz w:val="18"/>
                <w:szCs w:val="18"/>
              </w:rPr>
              <w:t>t-elle</w:t>
            </w:r>
            <w:r w:rsidR="00DF3EB3">
              <w:rPr>
                <w:rFonts w:ascii="Arial" w:eastAsia="MS Mincho" w:hAnsi="Arial" w:cs="Arial"/>
                <w:sz w:val="18"/>
                <w:szCs w:val="18"/>
              </w:rPr>
              <w:t>s</w:t>
            </w:r>
            <w:r w:rsidRPr="00353B6F">
              <w:rPr>
                <w:rFonts w:ascii="Arial" w:eastAsia="MS Mincho" w:hAnsi="Arial" w:cs="Arial"/>
                <w:sz w:val="18"/>
                <w:szCs w:val="18"/>
              </w:rPr>
              <w:t xml:space="preserve"> partie du projet d’établissement ? </w:t>
            </w:r>
          </w:p>
          <w:p w14:paraId="5A24F97E" w14:textId="77777777" w:rsidR="00353B6F" w:rsidRPr="00353B6F" w:rsidRDefault="00353B6F" w:rsidP="00353B6F">
            <w:pPr>
              <w:widowControl w:val="0"/>
              <w:numPr>
                <w:ilvl w:val="0"/>
                <w:numId w:val="3"/>
              </w:numPr>
              <w:tabs>
                <w:tab w:val="left" w:pos="323"/>
              </w:tabs>
              <w:spacing w:after="120"/>
              <w:ind w:left="284" w:right="170" w:hanging="193"/>
              <w:rPr>
                <w:rFonts w:ascii="Arial" w:eastAsia="MS Mincho" w:hAnsi="Arial" w:cs="Arial"/>
                <w:sz w:val="18"/>
                <w:szCs w:val="18"/>
              </w:rPr>
            </w:pPr>
            <w:r w:rsidRPr="00353B6F">
              <w:rPr>
                <w:rFonts w:ascii="Arial" w:eastAsia="MS Mincho" w:hAnsi="Arial" w:cs="Arial"/>
                <w:sz w:val="18"/>
                <w:szCs w:val="18"/>
              </w:rPr>
              <w:t>Des stratégies sont-elles mises en place ? des objectifs sont-ils définis ?</w:t>
            </w:r>
          </w:p>
          <w:p w14:paraId="4287C33E" w14:textId="77777777" w:rsidR="00300716" w:rsidRPr="00935DEE" w:rsidRDefault="00300716" w:rsidP="00A952ED">
            <w:pPr>
              <w:rPr>
                <w:rFonts w:asciiTheme="minorHAnsi" w:hAnsiTheme="minorHAnsi"/>
                <w:sz w:val="18"/>
                <w:szCs w:val="18"/>
              </w:rPr>
            </w:pPr>
          </w:p>
          <w:p w14:paraId="6D59EBC6" w14:textId="77777777" w:rsidR="00300716" w:rsidRPr="00935DEE" w:rsidRDefault="00300716" w:rsidP="00A952ED">
            <w:pPr>
              <w:rPr>
                <w:rFonts w:asciiTheme="minorHAnsi" w:hAnsiTheme="minorHAnsi"/>
                <w:sz w:val="18"/>
                <w:szCs w:val="18"/>
              </w:rPr>
            </w:pPr>
          </w:p>
          <w:p w14:paraId="2DB70B5C" w14:textId="77777777" w:rsidR="00300716" w:rsidRPr="00935DEE" w:rsidRDefault="00300716" w:rsidP="00A952ED">
            <w:pPr>
              <w:tabs>
                <w:tab w:val="left" w:pos="3548"/>
              </w:tabs>
              <w:rPr>
                <w:rFonts w:asciiTheme="minorHAnsi" w:hAnsiTheme="minorHAnsi"/>
                <w:sz w:val="18"/>
                <w:szCs w:val="18"/>
              </w:rPr>
            </w:pPr>
            <w:r w:rsidRPr="00935DEE">
              <w:rPr>
                <w:rFonts w:asciiTheme="minorHAnsi" w:hAnsiTheme="minorHAnsi"/>
                <w:sz w:val="18"/>
                <w:szCs w:val="18"/>
              </w:rPr>
              <w:tab/>
            </w:r>
          </w:p>
        </w:tc>
        <w:tc>
          <w:tcPr>
            <w:tcW w:w="284" w:type="dxa"/>
            <w:tcBorders>
              <w:top w:val="nil"/>
              <w:left w:val="single" w:sz="24" w:space="0" w:color="951B81"/>
              <w:bottom w:val="nil"/>
              <w:right w:val="single" w:sz="24" w:space="0" w:color="2AAC66"/>
            </w:tcBorders>
          </w:tcPr>
          <w:p w14:paraId="623B88C9" w14:textId="77777777" w:rsidR="00300716" w:rsidRPr="00935DEE" w:rsidRDefault="00300716" w:rsidP="00A952ED">
            <w:pPr>
              <w:rPr>
                <w:rFonts w:asciiTheme="minorHAnsi" w:hAnsiTheme="minorHAnsi"/>
                <w:sz w:val="17"/>
                <w:szCs w:val="17"/>
              </w:rPr>
            </w:pPr>
          </w:p>
        </w:tc>
        <w:tc>
          <w:tcPr>
            <w:tcW w:w="9072" w:type="dxa"/>
            <w:tcBorders>
              <w:top w:val="single" w:sz="24" w:space="0" w:color="2AAC66"/>
              <w:left w:val="single" w:sz="24" w:space="0" w:color="2AAC66"/>
              <w:bottom w:val="single" w:sz="24" w:space="0" w:color="2AAC66"/>
              <w:right w:val="single" w:sz="24" w:space="0" w:color="2AAC66"/>
            </w:tcBorders>
          </w:tcPr>
          <w:p w14:paraId="20FB61FC" w14:textId="77777777" w:rsidR="00300716" w:rsidRPr="00935DEE" w:rsidRDefault="00300716" w:rsidP="00A952ED">
            <w:pPr>
              <w:widowControl w:val="0"/>
              <w:tabs>
                <w:tab w:val="left" w:pos="323"/>
              </w:tabs>
              <w:spacing w:before="60" w:after="120"/>
              <w:ind w:right="170"/>
              <w:jc w:val="both"/>
              <w:rPr>
                <w:rFonts w:ascii="Arial" w:hAnsi="Arial" w:cs="Arial"/>
                <w:b/>
                <w:color w:val="2AAC66"/>
              </w:rPr>
            </w:pPr>
            <w:r w:rsidRPr="00935DEE">
              <w:rPr>
                <w:rFonts w:ascii="Arial" w:hAnsi="Arial" w:cs="Arial"/>
                <w:b/>
                <w:color w:val="2AAC66"/>
              </w:rPr>
              <w:t>Acteurs – Actions – Moyens – Temps</w:t>
            </w:r>
          </w:p>
          <w:p w14:paraId="37873C16" w14:textId="77777777" w:rsidR="00C96015" w:rsidRPr="00C96015" w:rsidRDefault="00C96015" w:rsidP="00C96015">
            <w:pPr>
              <w:widowControl w:val="0"/>
              <w:tabs>
                <w:tab w:val="left" w:pos="323"/>
              </w:tabs>
              <w:spacing w:after="60"/>
              <w:ind w:right="170"/>
              <w:rPr>
                <w:rFonts w:ascii="Arial" w:eastAsia="MS Mincho" w:hAnsi="Arial" w:cs="Arial"/>
                <w:sz w:val="18"/>
                <w:szCs w:val="18"/>
              </w:rPr>
            </w:pPr>
            <w:r w:rsidRPr="00C96015">
              <w:rPr>
                <w:rFonts w:ascii="Arial" w:eastAsia="MS Mincho" w:hAnsi="Arial" w:cs="Arial"/>
                <w:b/>
                <w:color w:val="00B050"/>
                <w:sz w:val="18"/>
                <w:szCs w:val="18"/>
              </w:rPr>
              <w:t xml:space="preserve">L’accompagnement en lycée professionnel </w:t>
            </w:r>
          </w:p>
          <w:p w14:paraId="42FDC7DE" w14:textId="77777777" w:rsidR="00C96015" w:rsidRDefault="00C96015" w:rsidP="00C96015">
            <w:pPr>
              <w:widowControl w:val="0"/>
              <w:numPr>
                <w:ilvl w:val="0"/>
                <w:numId w:val="3"/>
              </w:numPr>
              <w:tabs>
                <w:tab w:val="left" w:pos="323"/>
              </w:tabs>
              <w:ind w:left="318" w:right="172" w:hanging="228"/>
              <w:rPr>
                <w:rFonts w:ascii="Arial" w:eastAsia="MS Mincho" w:hAnsi="Arial" w:cs="Arial"/>
                <w:sz w:val="18"/>
                <w:szCs w:val="18"/>
              </w:rPr>
            </w:pPr>
            <w:r w:rsidRPr="00C96015">
              <w:rPr>
                <w:rFonts w:ascii="Arial" w:eastAsia="MS Mincho" w:hAnsi="Arial" w:cs="Arial"/>
                <w:sz w:val="18"/>
                <w:szCs w:val="18"/>
              </w:rPr>
              <w:t xml:space="preserve">Comment le positionnement des élèves, notamment en français et en mathématiques, est-il réalisé (analyse des tests de positionnement de seconde, autres actions complémentaires…) ? Comment les résultats sont-ils exploités ? </w:t>
            </w:r>
          </w:p>
          <w:p w14:paraId="5C4A9626" w14:textId="5231A8B2" w:rsidR="00C96015" w:rsidRPr="00C96015" w:rsidRDefault="00C96015" w:rsidP="00C96015">
            <w:pPr>
              <w:widowControl w:val="0"/>
              <w:numPr>
                <w:ilvl w:val="0"/>
                <w:numId w:val="3"/>
              </w:numPr>
              <w:tabs>
                <w:tab w:val="left" w:pos="323"/>
              </w:tabs>
              <w:ind w:left="318" w:right="172" w:hanging="228"/>
              <w:rPr>
                <w:rFonts w:ascii="Arial" w:eastAsia="MS Mincho" w:hAnsi="Arial" w:cs="Arial"/>
                <w:sz w:val="18"/>
                <w:szCs w:val="18"/>
              </w:rPr>
            </w:pPr>
            <w:r w:rsidRPr="00C96015">
              <w:rPr>
                <w:rFonts w:ascii="Arial" w:eastAsia="MS Mincho" w:hAnsi="Arial" w:cs="Arial"/>
                <w:sz w:val="18"/>
                <w:szCs w:val="18"/>
              </w:rPr>
              <w:t xml:space="preserve">Comment des parcours de formation spécifiques sont-ils organisés à partir de ce positionnement ? Dans quel cadre ? Dans le cours ordinaire de la classe ? En accompagnement personnalisé ou soutien au parcours ? Dans le cadre de la </w:t>
            </w:r>
            <w:proofErr w:type="spellStart"/>
            <w:r w:rsidRPr="00C96015">
              <w:rPr>
                <w:rFonts w:ascii="Arial" w:eastAsia="MS Mincho" w:hAnsi="Arial" w:cs="Arial"/>
                <w:sz w:val="18"/>
                <w:szCs w:val="18"/>
              </w:rPr>
              <w:t>co</w:t>
            </w:r>
            <w:proofErr w:type="spellEnd"/>
            <w:r w:rsidRPr="00C96015">
              <w:rPr>
                <w:rFonts w:ascii="Arial" w:eastAsia="MS Mincho" w:hAnsi="Arial" w:cs="Arial"/>
                <w:sz w:val="18"/>
                <w:szCs w:val="18"/>
              </w:rPr>
              <w:t xml:space="preserve">-intervention, de la réalisation du chef d’œuvre ou du projet ? </w:t>
            </w:r>
          </w:p>
          <w:p w14:paraId="7CF515B4" w14:textId="11ABA7DD" w:rsidR="00C96015" w:rsidRPr="00C96015" w:rsidRDefault="00C96015" w:rsidP="00C96015">
            <w:pPr>
              <w:widowControl w:val="0"/>
              <w:tabs>
                <w:tab w:val="left" w:pos="323"/>
              </w:tabs>
              <w:spacing w:before="120" w:after="60"/>
              <w:ind w:right="170"/>
              <w:rPr>
                <w:rFonts w:ascii="Arial" w:eastAsia="MS Mincho" w:hAnsi="Arial" w:cs="Arial"/>
                <w:sz w:val="18"/>
                <w:szCs w:val="18"/>
              </w:rPr>
            </w:pPr>
            <w:r w:rsidRPr="00C96015">
              <w:rPr>
                <w:rFonts w:ascii="Arial" w:eastAsia="MS Mincho" w:hAnsi="Arial" w:cs="Arial"/>
                <w:b/>
                <w:color w:val="00B050"/>
                <w:sz w:val="18"/>
                <w:szCs w:val="18"/>
              </w:rPr>
              <w:t>L’accueil en certificat de spécialisation, en bac pro pour les CAP ou en BTS pour les baccalauréats professionnels</w:t>
            </w:r>
          </w:p>
          <w:p w14:paraId="2D242880" w14:textId="77777777" w:rsidR="00C96015" w:rsidRDefault="00C96015" w:rsidP="00C96015">
            <w:pPr>
              <w:widowControl w:val="0"/>
              <w:numPr>
                <w:ilvl w:val="0"/>
                <w:numId w:val="3"/>
              </w:numPr>
              <w:tabs>
                <w:tab w:val="left" w:pos="323"/>
              </w:tabs>
              <w:ind w:left="318" w:right="172" w:hanging="228"/>
              <w:rPr>
                <w:rFonts w:ascii="Arial" w:eastAsia="MS Mincho" w:hAnsi="Arial" w:cs="Arial"/>
                <w:sz w:val="18"/>
                <w:szCs w:val="18"/>
              </w:rPr>
            </w:pPr>
            <w:r w:rsidRPr="00C96015">
              <w:rPr>
                <w:rFonts w:ascii="Arial" w:eastAsia="MS Mincho" w:hAnsi="Arial" w:cs="Arial"/>
                <w:sz w:val="18"/>
                <w:szCs w:val="18"/>
              </w:rPr>
              <w:t xml:space="preserve">Quelle politique d’accueil est mise en place ? Sous quelles formes ? </w:t>
            </w:r>
          </w:p>
          <w:p w14:paraId="5543EAAD" w14:textId="77777777" w:rsidR="00C96015" w:rsidRDefault="00C96015" w:rsidP="00C96015">
            <w:pPr>
              <w:widowControl w:val="0"/>
              <w:numPr>
                <w:ilvl w:val="0"/>
                <w:numId w:val="3"/>
              </w:numPr>
              <w:tabs>
                <w:tab w:val="left" w:pos="323"/>
              </w:tabs>
              <w:ind w:left="318" w:right="172" w:hanging="228"/>
              <w:rPr>
                <w:rFonts w:ascii="Arial" w:eastAsia="MS Mincho" w:hAnsi="Arial" w:cs="Arial"/>
                <w:sz w:val="18"/>
                <w:szCs w:val="18"/>
              </w:rPr>
            </w:pPr>
            <w:r w:rsidRPr="00C96015">
              <w:rPr>
                <w:rFonts w:ascii="Arial" w:eastAsia="MS Mincho" w:hAnsi="Arial" w:cs="Arial"/>
                <w:sz w:val="18"/>
                <w:szCs w:val="18"/>
              </w:rPr>
              <w:t xml:space="preserve">Un nouveau positionnement des compétences est-il réalisé à l’entrée et de quelle façon ? </w:t>
            </w:r>
          </w:p>
          <w:p w14:paraId="57FC0815" w14:textId="77777777" w:rsidR="00C96015" w:rsidRDefault="00C96015" w:rsidP="00C96015">
            <w:pPr>
              <w:widowControl w:val="0"/>
              <w:numPr>
                <w:ilvl w:val="0"/>
                <w:numId w:val="3"/>
              </w:numPr>
              <w:tabs>
                <w:tab w:val="left" w:pos="323"/>
              </w:tabs>
              <w:ind w:left="318" w:right="172" w:hanging="228"/>
              <w:rPr>
                <w:rFonts w:ascii="Arial" w:eastAsia="MS Mincho" w:hAnsi="Arial" w:cs="Arial"/>
                <w:sz w:val="18"/>
                <w:szCs w:val="18"/>
              </w:rPr>
            </w:pPr>
            <w:r w:rsidRPr="00C96015">
              <w:rPr>
                <w:rFonts w:ascii="Arial" w:eastAsia="MS Mincho" w:hAnsi="Arial" w:cs="Arial"/>
                <w:sz w:val="18"/>
                <w:szCs w:val="18"/>
              </w:rPr>
              <w:t xml:space="preserve">Une réorganisation des enseignements, des emplois du temps, des PFMP ou stages est-elle programmée au cours de la première année en bac pro ou BTS ? </w:t>
            </w:r>
          </w:p>
          <w:p w14:paraId="7E35670D" w14:textId="77777777" w:rsidR="00C96015" w:rsidRDefault="00C96015" w:rsidP="00C96015">
            <w:pPr>
              <w:widowControl w:val="0"/>
              <w:numPr>
                <w:ilvl w:val="0"/>
                <w:numId w:val="3"/>
              </w:numPr>
              <w:tabs>
                <w:tab w:val="left" w:pos="323"/>
              </w:tabs>
              <w:ind w:left="318" w:right="172" w:hanging="228"/>
              <w:rPr>
                <w:rFonts w:ascii="Arial" w:eastAsia="MS Mincho" w:hAnsi="Arial" w:cs="Arial"/>
                <w:sz w:val="18"/>
                <w:szCs w:val="18"/>
              </w:rPr>
            </w:pPr>
            <w:r w:rsidRPr="00C96015">
              <w:rPr>
                <w:rFonts w:ascii="Arial" w:eastAsia="MS Mincho" w:hAnsi="Arial" w:cs="Arial"/>
                <w:sz w:val="18"/>
                <w:szCs w:val="18"/>
              </w:rPr>
              <w:t xml:space="preserve">Quels temps de rencontre et de régulation entre les étudiants et les professeurs sont-ils planifiés en cours d’année scolaire ? </w:t>
            </w:r>
          </w:p>
          <w:p w14:paraId="537EB2AE" w14:textId="77777777" w:rsidR="00C96015" w:rsidRDefault="00C96015" w:rsidP="00C96015">
            <w:pPr>
              <w:widowControl w:val="0"/>
              <w:numPr>
                <w:ilvl w:val="0"/>
                <w:numId w:val="3"/>
              </w:numPr>
              <w:tabs>
                <w:tab w:val="left" w:pos="323"/>
              </w:tabs>
              <w:ind w:left="318" w:right="172" w:hanging="228"/>
              <w:rPr>
                <w:rFonts w:ascii="Arial" w:eastAsia="MS Mincho" w:hAnsi="Arial" w:cs="Arial"/>
                <w:sz w:val="18"/>
                <w:szCs w:val="18"/>
              </w:rPr>
            </w:pPr>
            <w:r w:rsidRPr="00C96015">
              <w:rPr>
                <w:rFonts w:ascii="Arial" w:eastAsia="MS Mincho" w:hAnsi="Arial" w:cs="Arial"/>
                <w:sz w:val="18"/>
                <w:szCs w:val="18"/>
              </w:rPr>
              <w:t xml:space="preserve">Comment l’évaluation de la progression individuelle est-elle organisée ? </w:t>
            </w:r>
          </w:p>
          <w:p w14:paraId="02C62347" w14:textId="77777777" w:rsidR="00C96015" w:rsidRDefault="00C96015" w:rsidP="00C96015">
            <w:pPr>
              <w:widowControl w:val="0"/>
              <w:numPr>
                <w:ilvl w:val="0"/>
                <w:numId w:val="3"/>
              </w:numPr>
              <w:tabs>
                <w:tab w:val="left" w:pos="323"/>
              </w:tabs>
              <w:ind w:left="318" w:right="172" w:hanging="228"/>
              <w:rPr>
                <w:rFonts w:ascii="Arial" w:eastAsia="MS Mincho" w:hAnsi="Arial" w:cs="Arial"/>
                <w:sz w:val="18"/>
                <w:szCs w:val="18"/>
              </w:rPr>
            </w:pPr>
            <w:r w:rsidRPr="00C96015">
              <w:rPr>
                <w:rFonts w:ascii="Arial" w:eastAsia="MS Mincho" w:hAnsi="Arial" w:cs="Arial"/>
                <w:sz w:val="18"/>
                <w:szCs w:val="18"/>
              </w:rPr>
              <w:t xml:space="preserve">Quelles pratiques d’accompagnement et de suivi individualisé sont développées pour les élèves issus de CAP en Bac pro ou de bac pro en STS (tutorat par des enseignants, par les pairs, par des intervenants externes…) ? </w:t>
            </w:r>
          </w:p>
          <w:p w14:paraId="41155A95" w14:textId="7F8DECE6" w:rsidR="00300716" w:rsidRPr="00C96015" w:rsidRDefault="00C96015" w:rsidP="00C96015">
            <w:pPr>
              <w:widowControl w:val="0"/>
              <w:numPr>
                <w:ilvl w:val="0"/>
                <w:numId w:val="3"/>
              </w:numPr>
              <w:tabs>
                <w:tab w:val="left" w:pos="323"/>
              </w:tabs>
              <w:ind w:left="318" w:right="172" w:hanging="228"/>
              <w:rPr>
                <w:rFonts w:ascii="Arial" w:eastAsia="MS Mincho" w:hAnsi="Arial" w:cs="Arial"/>
                <w:sz w:val="18"/>
                <w:szCs w:val="18"/>
              </w:rPr>
            </w:pPr>
            <w:r w:rsidRPr="00C96015">
              <w:rPr>
                <w:rFonts w:ascii="Arial" w:eastAsia="MS Mincho" w:hAnsi="Arial" w:cs="Arial"/>
                <w:sz w:val="18"/>
                <w:szCs w:val="18"/>
              </w:rPr>
              <w:t xml:space="preserve">Quelles pratiques de classes sont mise en œuvre pour favoriser l’échange de compétences permis par la diversité des parcours d’origine des étudiants, afin que les étudiants issus de la voie générale et technologique bénéficient des compétences professionnelles des bacheliers et vice-et-versa (autre forme de positionnement et de valorisation des acquis) ? </w:t>
            </w:r>
          </w:p>
          <w:p w14:paraId="6B40E9AB" w14:textId="77777777" w:rsidR="00300716" w:rsidRPr="00935DEE" w:rsidRDefault="00300716" w:rsidP="00A952ED">
            <w:pPr>
              <w:rPr>
                <w:rFonts w:ascii="Arial" w:eastAsia="MS Mincho" w:hAnsi="Arial" w:cs="Arial"/>
                <w:sz w:val="18"/>
                <w:szCs w:val="18"/>
              </w:rPr>
            </w:pPr>
          </w:p>
          <w:p w14:paraId="34513E0E" w14:textId="77777777" w:rsidR="00300716" w:rsidRPr="00935DEE" w:rsidRDefault="00300716" w:rsidP="00A952ED">
            <w:pPr>
              <w:ind w:firstLine="708"/>
              <w:rPr>
                <w:rFonts w:ascii="Arial" w:eastAsia="MS Mincho" w:hAnsi="Arial" w:cs="Arial"/>
                <w:sz w:val="18"/>
                <w:szCs w:val="18"/>
              </w:rPr>
            </w:pPr>
          </w:p>
        </w:tc>
        <w:tc>
          <w:tcPr>
            <w:tcW w:w="283" w:type="dxa"/>
            <w:gridSpan w:val="2"/>
            <w:tcBorders>
              <w:top w:val="nil"/>
              <w:left w:val="single" w:sz="24" w:space="0" w:color="2AAC66"/>
              <w:bottom w:val="nil"/>
              <w:right w:val="single" w:sz="24" w:space="0" w:color="EE7444"/>
            </w:tcBorders>
          </w:tcPr>
          <w:p w14:paraId="2BC67F85" w14:textId="77777777" w:rsidR="00300716" w:rsidRPr="00935DEE" w:rsidRDefault="00300716" w:rsidP="00A952ED">
            <w:pPr>
              <w:rPr>
                <w:rFonts w:asciiTheme="minorHAnsi" w:hAnsiTheme="minorHAnsi"/>
                <w:sz w:val="17"/>
                <w:szCs w:val="17"/>
              </w:rPr>
            </w:pPr>
          </w:p>
        </w:tc>
        <w:tc>
          <w:tcPr>
            <w:tcW w:w="2693" w:type="dxa"/>
            <w:tcBorders>
              <w:top w:val="single" w:sz="24" w:space="0" w:color="EE7444"/>
              <w:left w:val="single" w:sz="24" w:space="0" w:color="EE7444"/>
              <w:bottom w:val="single" w:sz="24" w:space="0" w:color="EE7444"/>
              <w:right w:val="single" w:sz="24" w:space="0" w:color="EE7444"/>
            </w:tcBorders>
          </w:tcPr>
          <w:p w14:paraId="7916E263" w14:textId="77777777" w:rsidR="00300716" w:rsidRPr="00935DEE" w:rsidRDefault="00300716" w:rsidP="005F677E">
            <w:pPr>
              <w:spacing w:before="60"/>
              <w:ind w:left="79"/>
              <w:rPr>
                <w:rFonts w:ascii="Arial" w:hAnsi="Arial" w:cs="Arial"/>
                <w:b/>
                <w:color w:val="EE7444"/>
              </w:rPr>
            </w:pPr>
            <w:r w:rsidRPr="00935DEE">
              <w:rPr>
                <w:rFonts w:ascii="Arial" w:hAnsi="Arial" w:cs="Arial"/>
                <w:b/>
                <w:color w:val="EE7444"/>
              </w:rPr>
              <w:t xml:space="preserve">Exemples d’indicateurs </w:t>
            </w:r>
          </w:p>
          <w:p w14:paraId="7DF7DE55" w14:textId="77777777" w:rsidR="00300716" w:rsidRPr="00935DEE" w:rsidRDefault="00300716" w:rsidP="005F677E">
            <w:pPr>
              <w:spacing w:after="120"/>
              <w:ind w:left="79"/>
              <w:rPr>
                <w:rFonts w:ascii="Arial" w:hAnsi="Arial" w:cs="Arial"/>
                <w:color w:val="EE7444"/>
              </w:rPr>
            </w:pPr>
            <w:proofErr w:type="gramStart"/>
            <w:r w:rsidRPr="00935DEE">
              <w:rPr>
                <w:rFonts w:ascii="Arial" w:hAnsi="Arial" w:cs="Arial"/>
                <w:b/>
                <w:color w:val="EE7444"/>
              </w:rPr>
              <w:t>de</w:t>
            </w:r>
            <w:proofErr w:type="gramEnd"/>
            <w:r w:rsidRPr="00935DEE">
              <w:rPr>
                <w:rFonts w:ascii="Arial" w:hAnsi="Arial" w:cs="Arial"/>
                <w:b/>
                <w:color w:val="EE7444"/>
              </w:rPr>
              <w:t xml:space="preserve"> suivi</w:t>
            </w:r>
            <w:r w:rsidRPr="00935DEE">
              <w:rPr>
                <w:rFonts w:ascii="Arial" w:hAnsi="Arial" w:cs="Arial"/>
                <w:color w:val="EE7444"/>
              </w:rPr>
              <w:t xml:space="preserve"> </w:t>
            </w:r>
          </w:p>
          <w:p w14:paraId="530089B6" w14:textId="77777777" w:rsidR="00353B6F" w:rsidRPr="00353B6F" w:rsidRDefault="00353B6F" w:rsidP="00353B6F">
            <w:pPr>
              <w:spacing w:before="120" w:after="60"/>
              <w:ind w:left="79"/>
              <w:rPr>
                <w:rFonts w:ascii="Arial" w:hAnsi="Arial" w:cs="Arial"/>
                <w:b/>
                <w:color w:val="EE7444"/>
                <w:sz w:val="18"/>
                <w:szCs w:val="18"/>
              </w:rPr>
            </w:pPr>
            <w:r w:rsidRPr="00353B6F">
              <w:rPr>
                <w:rFonts w:ascii="Arial" w:hAnsi="Arial" w:cs="Arial"/>
                <w:b/>
                <w:color w:val="EE7444"/>
                <w:sz w:val="18"/>
                <w:szCs w:val="18"/>
              </w:rPr>
              <w:t>Flux et parcours</w:t>
            </w:r>
          </w:p>
          <w:p w14:paraId="56AFE029" w14:textId="77777777" w:rsidR="00353B6F" w:rsidRPr="00353B6F"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Part des bacheliers professionnels par spécialité de BTS</w:t>
            </w:r>
          </w:p>
          <w:p w14:paraId="343764F4" w14:textId="77777777" w:rsidR="00353B6F" w:rsidRPr="00353B6F"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Taux de poursuite après la première année de formation pour le bac pro et le BTS</w:t>
            </w:r>
          </w:p>
          <w:p w14:paraId="4C28B93C" w14:textId="77777777" w:rsidR="00353B6F" w:rsidRPr="00353B6F"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Profil des élèves/étudiants décrocheurs</w:t>
            </w:r>
          </w:p>
          <w:p w14:paraId="51570F68" w14:textId="77777777" w:rsidR="00353B6F" w:rsidRPr="00353B6F" w:rsidRDefault="00353B6F" w:rsidP="00353B6F">
            <w:pPr>
              <w:spacing w:before="120" w:after="60"/>
              <w:ind w:left="79"/>
              <w:rPr>
                <w:rFonts w:ascii="Arial" w:hAnsi="Arial" w:cs="Arial"/>
                <w:b/>
                <w:color w:val="EE7444"/>
                <w:sz w:val="18"/>
                <w:szCs w:val="18"/>
              </w:rPr>
            </w:pPr>
            <w:r w:rsidRPr="00353B6F">
              <w:rPr>
                <w:rFonts w:ascii="Arial" w:hAnsi="Arial" w:cs="Arial"/>
                <w:b/>
                <w:color w:val="EE7444"/>
                <w:sz w:val="18"/>
                <w:szCs w:val="18"/>
              </w:rPr>
              <w:t>Réussite au diplôme</w:t>
            </w:r>
          </w:p>
          <w:p w14:paraId="13F6F61B" w14:textId="77777777" w:rsidR="00353B6F" w:rsidRPr="00353B6F"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Taux de réussite des CAP au bac pro et des bacheliers professionnels au BTS et des CAP et bacheliers professionnels en certificat de spécialisation</w:t>
            </w:r>
          </w:p>
          <w:p w14:paraId="044C1DD0" w14:textId="77777777" w:rsidR="00353B6F" w:rsidRPr="00353B6F"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 xml:space="preserve">Mise en relation de ce taux en avec les dispositifs mis en place (cordées de la réussite, parcours de consolidation en BTS…) </w:t>
            </w:r>
          </w:p>
          <w:p w14:paraId="25CC655F" w14:textId="77206A48" w:rsidR="00300716" w:rsidRPr="00935DEE" w:rsidRDefault="00353B6F" w:rsidP="00353B6F">
            <w:pPr>
              <w:widowControl w:val="0"/>
              <w:tabs>
                <w:tab w:val="left" w:pos="323"/>
              </w:tabs>
              <w:spacing w:after="60"/>
              <w:ind w:left="91"/>
              <w:rPr>
                <w:rFonts w:ascii="Arial" w:eastAsia="MS Mincho" w:hAnsi="Arial" w:cs="Arial"/>
                <w:sz w:val="18"/>
                <w:szCs w:val="18"/>
              </w:rPr>
            </w:pPr>
            <w:r w:rsidRPr="00353B6F">
              <w:rPr>
                <w:rFonts w:ascii="Arial" w:eastAsia="MS Mincho" w:hAnsi="Arial" w:cs="Arial"/>
                <w:sz w:val="18"/>
                <w:szCs w:val="18"/>
              </w:rPr>
              <w:t>Taux de poursuite d’études et d’insertion professionnelle des élèves ayant bénéficié d’une liaison, post-bac pro, post BTS et post-CS</w:t>
            </w:r>
          </w:p>
        </w:tc>
      </w:tr>
    </w:tbl>
    <w:p w14:paraId="51D33BC2" w14:textId="77777777" w:rsidR="00935DEE" w:rsidRPr="00935DEE" w:rsidRDefault="00935DEE" w:rsidP="00935DEE">
      <w:pPr>
        <w:sectPr w:rsidR="00935DEE" w:rsidRPr="00935DEE" w:rsidSect="00300716">
          <w:footerReference w:type="default" r:id="rId25"/>
          <w:pgSz w:w="16838" w:h="11906" w:orient="landscape"/>
          <w:pgMar w:top="471" w:right="1387" w:bottom="1" w:left="1134" w:header="142" w:footer="343"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3ABB43A2">
              <wp:simplePos x="0" y="0"/>
              <wp:positionH relativeFrom="column">
                <wp:posOffset>1146810</wp:posOffset>
              </wp:positionH>
              <wp:positionV relativeFrom="paragraph">
                <wp:posOffset>-26670</wp:posOffset>
              </wp:positionV>
              <wp:extent cx="2231136" cy="762000"/>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231136"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52B65125"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353B6F">
                            <w:rPr>
                              <w:rFonts w:ascii="Calibri" w:hAnsi="Calibri"/>
                              <w:b/>
                              <w:color w:val="00B5C6"/>
                              <w:sz w:val="16"/>
                              <w:szCs w:val="28"/>
                            </w:rPr>
                            <w:t xml:space="preserve"> académies de Besançon et Dijon. 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 –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90.3pt;margin-top:-2.1pt;width:175.7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" fillcolor="white [3201]" stroked="f" strokeweight=".5pt">
              <v:textbox>
                <w:txbxContent>
                  <w:p w14:paraId="2F782134" w14:textId="52B65125"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353B6F">
                      <w:rPr>
                        <w:rFonts w:ascii="Calibri" w:hAnsi="Calibri"/>
                        <w:b/>
                        <w:color w:val="00B5C6"/>
                        <w:sz w:val="16"/>
                        <w:szCs w:val="28"/>
                      </w:rPr>
                      <w:t xml:space="preserve"> académies de Besançon et Dijon. 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 –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5B078" w14:textId="68AFBB77" w:rsidR="00353B6F" w:rsidRPr="00436D64" w:rsidRDefault="00935DEE" w:rsidP="00353B6F">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353B6F">
                            <w:rPr>
                              <w:rFonts w:ascii="Marianne" w:hAnsi="Marianne"/>
                              <w:b/>
                              <w:color w:val="00B5C6"/>
                              <w:sz w:val="24"/>
                              <w:szCs w:val="2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4AE5B078" w14:textId="68AFBB77" w:rsidR="00353B6F" w:rsidRPr="00436D64" w:rsidRDefault="00935DEE" w:rsidP="00353B6F">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353B6F">
                      <w:rPr>
                        <w:rFonts w:ascii="Marianne" w:hAnsi="Marianne"/>
                        <w:b/>
                        <w:color w:val="00B5C6"/>
                        <w:sz w:val="24"/>
                        <w:szCs w:val="24"/>
                      </w:rPr>
                      <w:t>10</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8A0746"/>
    <w:multiLevelType w:val="hybridMultilevel"/>
    <w:tmpl w:val="505A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5"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2C4635"/>
    <w:multiLevelType w:val="hybridMultilevel"/>
    <w:tmpl w:val="4B86CE48"/>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7"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8"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9"/>
  </w:num>
  <w:num w:numId="2" w16cid:durableId="1496527722">
    <w:abstractNumId w:val="0"/>
  </w:num>
  <w:num w:numId="3" w16cid:durableId="1942570898">
    <w:abstractNumId w:val="7"/>
  </w:num>
  <w:num w:numId="4" w16cid:durableId="8222907">
    <w:abstractNumId w:val="12"/>
  </w:num>
  <w:num w:numId="5" w16cid:durableId="2008701794">
    <w:abstractNumId w:val="8"/>
  </w:num>
  <w:num w:numId="6" w16cid:durableId="514928024">
    <w:abstractNumId w:val="5"/>
  </w:num>
  <w:num w:numId="7" w16cid:durableId="369577301">
    <w:abstractNumId w:val="13"/>
  </w:num>
  <w:num w:numId="8" w16cid:durableId="1352150428">
    <w:abstractNumId w:val="11"/>
  </w:num>
  <w:num w:numId="9" w16cid:durableId="610284317">
    <w:abstractNumId w:val="4"/>
  </w:num>
  <w:num w:numId="10" w16cid:durableId="971638984">
    <w:abstractNumId w:val="1"/>
  </w:num>
  <w:num w:numId="11" w16cid:durableId="526454694">
    <w:abstractNumId w:val="2"/>
  </w:num>
  <w:num w:numId="12" w16cid:durableId="944579204">
    <w:abstractNumId w:val="10"/>
  </w:num>
  <w:num w:numId="13" w16cid:durableId="1464075894">
    <w:abstractNumId w:val="3"/>
  </w:num>
  <w:num w:numId="14" w16cid:durableId="2134472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818C2"/>
    <w:rsid w:val="000850E8"/>
    <w:rsid w:val="000A1EDB"/>
    <w:rsid w:val="000A5A91"/>
    <w:rsid w:val="000A6FED"/>
    <w:rsid w:val="000C032B"/>
    <w:rsid w:val="000D1AEE"/>
    <w:rsid w:val="000F4D07"/>
    <w:rsid w:val="000F6F97"/>
    <w:rsid w:val="0012632A"/>
    <w:rsid w:val="00127EA9"/>
    <w:rsid w:val="0013428E"/>
    <w:rsid w:val="001407FA"/>
    <w:rsid w:val="00167567"/>
    <w:rsid w:val="001A4A6A"/>
    <w:rsid w:val="001B37E2"/>
    <w:rsid w:val="001E1709"/>
    <w:rsid w:val="00224C3B"/>
    <w:rsid w:val="00246FD9"/>
    <w:rsid w:val="002515C9"/>
    <w:rsid w:val="002838D7"/>
    <w:rsid w:val="00286C64"/>
    <w:rsid w:val="00287D65"/>
    <w:rsid w:val="002A5DE8"/>
    <w:rsid w:val="002B1FB6"/>
    <w:rsid w:val="00300716"/>
    <w:rsid w:val="00300E11"/>
    <w:rsid w:val="003426AD"/>
    <w:rsid w:val="00353B6F"/>
    <w:rsid w:val="00372EA1"/>
    <w:rsid w:val="003B2904"/>
    <w:rsid w:val="003F19AB"/>
    <w:rsid w:val="00401CCB"/>
    <w:rsid w:val="00406D08"/>
    <w:rsid w:val="00436D64"/>
    <w:rsid w:val="00464261"/>
    <w:rsid w:val="004768E9"/>
    <w:rsid w:val="00484223"/>
    <w:rsid w:val="004B62D6"/>
    <w:rsid w:val="004B73D9"/>
    <w:rsid w:val="004C2671"/>
    <w:rsid w:val="004C5166"/>
    <w:rsid w:val="004D4F13"/>
    <w:rsid w:val="004D6944"/>
    <w:rsid w:val="004E42C0"/>
    <w:rsid w:val="00525365"/>
    <w:rsid w:val="0055112B"/>
    <w:rsid w:val="005F677E"/>
    <w:rsid w:val="00640C67"/>
    <w:rsid w:val="0065494F"/>
    <w:rsid w:val="00660471"/>
    <w:rsid w:val="00662A18"/>
    <w:rsid w:val="00670AE4"/>
    <w:rsid w:val="00693520"/>
    <w:rsid w:val="006A784C"/>
    <w:rsid w:val="006B3050"/>
    <w:rsid w:val="006C2652"/>
    <w:rsid w:val="006C3AA4"/>
    <w:rsid w:val="0074412C"/>
    <w:rsid w:val="007B5ED0"/>
    <w:rsid w:val="00816F70"/>
    <w:rsid w:val="00817537"/>
    <w:rsid w:val="00830716"/>
    <w:rsid w:val="00863C62"/>
    <w:rsid w:val="008702A8"/>
    <w:rsid w:val="00871D88"/>
    <w:rsid w:val="0087536D"/>
    <w:rsid w:val="008C62CE"/>
    <w:rsid w:val="008F3D0F"/>
    <w:rsid w:val="008F4D8F"/>
    <w:rsid w:val="00902070"/>
    <w:rsid w:val="00905628"/>
    <w:rsid w:val="00924315"/>
    <w:rsid w:val="009353BF"/>
    <w:rsid w:val="00935DEE"/>
    <w:rsid w:val="00970F64"/>
    <w:rsid w:val="009E77A4"/>
    <w:rsid w:val="009F1970"/>
    <w:rsid w:val="00A229F4"/>
    <w:rsid w:val="00A9517C"/>
    <w:rsid w:val="00A97672"/>
    <w:rsid w:val="00AA0CB0"/>
    <w:rsid w:val="00AC18EB"/>
    <w:rsid w:val="00AC414F"/>
    <w:rsid w:val="00B04563"/>
    <w:rsid w:val="00B24E14"/>
    <w:rsid w:val="00B37D7D"/>
    <w:rsid w:val="00B44C13"/>
    <w:rsid w:val="00B4659B"/>
    <w:rsid w:val="00B471F2"/>
    <w:rsid w:val="00B65C50"/>
    <w:rsid w:val="00B850CF"/>
    <w:rsid w:val="00B87B70"/>
    <w:rsid w:val="00BC2A6A"/>
    <w:rsid w:val="00BD0C56"/>
    <w:rsid w:val="00BE65D0"/>
    <w:rsid w:val="00BF1B79"/>
    <w:rsid w:val="00C36A6B"/>
    <w:rsid w:val="00C73334"/>
    <w:rsid w:val="00C96015"/>
    <w:rsid w:val="00CC73DE"/>
    <w:rsid w:val="00CC79D9"/>
    <w:rsid w:val="00CF60FD"/>
    <w:rsid w:val="00D00107"/>
    <w:rsid w:val="00D04DB2"/>
    <w:rsid w:val="00D403B1"/>
    <w:rsid w:val="00D4569F"/>
    <w:rsid w:val="00D468E4"/>
    <w:rsid w:val="00D7761A"/>
    <w:rsid w:val="00DB56D0"/>
    <w:rsid w:val="00DF3EB3"/>
    <w:rsid w:val="00E033AF"/>
    <w:rsid w:val="00E368D5"/>
    <w:rsid w:val="00E67071"/>
    <w:rsid w:val="00E92E4C"/>
    <w:rsid w:val="00F025EA"/>
    <w:rsid w:val="00F079D0"/>
    <w:rsid w:val="00F47898"/>
    <w:rsid w:val="00F5376E"/>
    <w:rsid w:val="00F70AC2"/>
    <w:rsid w:val="00FB0D15"/>
    <w:rsid w:val="00FB5AEE"/>
    <w:rsid w:val="00FC266A"/>
    <w:rsid w:val="00FE19B6"/>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015"/>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idArticle=LEGIARTI000038885813&amp;cidTexte=LEGITEXT000006071191&amp;dateTexte=20190727" TargetMode="External"/><Relationship Id="rId13" Type="http://schemas.openxmlformats.org/officeDocument/2006/relationships/hyperlink" Target="https://www.legifrance.gouv.fr/loda/id/JORFTEXT000037833254/2025-07-08/" TargetMode="External"/><Relationship Id="rId18" Type="http://schemas.openxmlformats.org/officeDocument/2006/relationships/hyperlink" Target="https://www.legifrance.gouv.fr/affichCodeArticle.do?idArticle=LEGIARTI000038904597&amp;cidTexte=LEGITEXT000006071191&amp;dateTexte=201909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france.gouv.fr/loda/id/JORFTEXT000037833273/2025-07-08/" TargetMode="External"/><Relationship Id="rId7" Type="http://schemas.openxmlformats.org/officeDocument/2006/relationships/endnotes" Target="endnotes.xml"/><Relationship Id="rId12" Type="http://schemas.openxmlformats.org/officeDocument/2006/relationships/hyperlink" Target="https://www.legifrance.gouv.fr/loda/id/JORFTEXT000037833273/2025-07-08/" TargetMode="External"/><Relationship Id="rId17" Type="http://schemas.openxmlformats.org/officeDocument/2006/relationships/hyperlink" Target="https://www.legifrance.gouv.fr/affichCodeArticle.do?idArticle=LEGIARTI000038885813&amp;cidTexte=LEGITEXT000006071191&amp;dateTexte=2019072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legifrance.gouv.fr/affichCodeArticle.do?idArticle=LEGIARTI000041444664&amp;cidTexte=LEGITEXT000006071191&amp;dateTexte=2020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idArticle=LEGIARTI000041444664&amp;cidTexte=LEGITEXT000006071191&amp;dateTexte=20200101" TargetMode="External"/><Relationship Id="rId24" Type="http://schemas.openxmlformats.org/officeDocument/2006/relationships/hyperlink" Target="https://www.education.gouv.fr/bo/2024/Hebdo11/MENE2404141N" TargetMode="External"/><Relationship Id="rId5" Type="http://schemas.openxmlformats.org/officeDocument/2006/relationships/webSettings" Target="webSettings.xml"/><Relationship Id="rId15" Type="http://schemas.openxmlformats.org/officeDocument/2006/relationships/hyperlink" Target="https://www.education.gouv.fr/bo/2024/Hebdo11/MENE2404141N" TargetMode="External"/><Relationship Id="rId23" Type="http://schemas.openxmlformats.org/officeDocument/2006/relationships/hyperlink" Target="http://www.education.gouv.fr/pid285/bulletin_officiel.html?cid_bo=100538" TargetMode="External"/><Relationship Id="rId10" Type="http://schemas.openxmlformats.org/officeDocument/2006/relationships/hyperlink" Target="https://www.legifrance.gouv.fr/codes/id/LEGIARTI000038265426/2025-07-08/" TargetMode="External"/><Relationship Id="rId19" Type="http://schemas.openxmlformats.org/officeDocument/2006/relationships/hyperlink" Target="https://www.legifrance.gouv.fr/codes/id/LEGIARTI000038265426/2025-07-08/" TargetMode="External"/><Relationship Id="rId4" Type="http://schemas.openxmlformats.org/officeDocument/2006/relationships/settings" Target="settings.xml"/><Relationship Id="rId9" Type="http://schemas.openxmlformats.org/officeDocument/2006/relationships/hyperlink" Target="https://www.legifrance.gouv.fr/affichCodeArticle.do?idArticle=LEGIARTI000038904597&amp;cidTexte=LEGITEXT000006071191&amp;dateTexte=20190902" TargetMode="External"/><Relationship Id="rId14" Type="http://schemas.openxmlformats.org/officeDocument/2006/relationships/hyperlink" Target="http://www.education.gouv.fr/pid285/bulletin_officiel.html?cid_bo=100538" TargetMode="External"/><Relationship Id="rId22" Type="http://schemas.openxmlformats.org/officeDocument/2006/relationships/hyperlink" Target="https://www.legifrance.gouv.fr/loda/id/JORFTEXT000037833254/2025-07-08/"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1642</Words>
  <Characters>9033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7</cp:revision>
  <dcterms:created xsi:type="dcterms:W3CDTF">2026-03-19T16:28:00Z</dcterms:created>
  <dcterms:modified xsi:type="dcterms:W3CDTF">2026-03-19T16:55:00Z</dcterms:modified>
</cp:coreProperties>
</file>