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326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3261"/>
        <w:gridCol w:w="236"/>
        <w:gridCol w:w="7513"/>
        <w:gridCol w:w="47"/>
        <w:gridCol w:w="189"/>
        <w:gridCol w:w="95"/>
        <w:gridCol w:w="4608"/>
        <w:gridCol w:w="377"/>
      </w:tblGrid>
      <w:tr w:rsidR="00AC414F" w:rsidRPr="00401CCB" w14:paraId="75457DC7" w14:textId="77777777" w:rsidTr="00335EA1">
        <w:trPr>
          <w:trHeight w:hRule="exact" w:val="1247"/>
        </w:trPr>
        <w:tc>
          <w:tcPr>
            <w:tcW w:w="11057" w:type="dxa"/>
            <w:gridSpan w:val="4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3880A523" w14:textId="223CEFEB" w:rsidR="00E92E4C" w:rsidRPr="006D1CF6" w:rsidRDefault="00E92E4C" w:rsidP="00335EA1">
            <w:pPr>
              <w:pStyle w:val="Titre2"/>
              <w:numPr>
                <w:ilvl w:val="0"/>
                <w:numId w:val="0"/>
              </w:numPr>
              <w:spacing w:before="6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>1.</w:t>
            </w:r>
            <w:r w:rsidR="002109E6">
              <w:rPr>
                <w:rFonts w:ascii="Arial" w:hAnsi="Arial" w:cs="Arial"/>
                <w:sz w:val="30"/>
                <w:szCs w:val="30"/>
                <w:lang w:val="fr-FR"/>
              </w:rPr>
              <w:t>20</w:t>
            </w: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="00FF0A74" w:rsidRPr="00FF0A74">
              <w:rPr>
                <w:rFonts w:ascii="Arial" w:hAnsi="Arial" w:cs="Arial"/>
                <w:sz w:val="30"/>
                <w:szCs w:val="30"/>
                <w:lang w:val="fr-FR"/>
              </w:rPr>
              <w:t xml:space="preserve">Mettre en œuvre </w:t>
            </w:r>
            <w:r w:rsidR="002109E6">
              <w:rPr>
                <w:rFonts w:ascii="Arial" w:hAnsi="Arial" w:cs="Arial"/>
                <w:sz w:val="30"/>
                <w:szCs w:val="30"/>
                <w:lang w:val="fr-FR"/>
              </w:rPr>
              <w:t>l</w:t>
            </w:r>
            <w:r w:rsidR="002109E6" w:rsidRPr="002109E6">
              <w:rPr>
                <w:rFonts w:ascii="Arial" w:hAnsi="Arial" w:cs="Arial"/>
                <w:sz w:val="30"/>
                <w:szCs w:val="30"/>
                <w:lang w:val="fr-FR"/>
              </w:rPr>
              <w:t>e parcours personnalisé en classe de terminale baccalauréat professionnel</w:t>
            </w:r>
            <w:r w:rsidR="002109E6" w:rsidRPr="002109E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="00935DEE">
              <w:rPr>
                <w:rFonts w:ascii="Arial" w:hAnsi="Arial" w:cs="Arial"/>
                <w:sz w:val="30"/>
                <w:szCs w:val="30"/>
                <w:lang w:val="fr-FR"/>
              </w:rPr>
              <w:t>(1/2)</w:t>
            </w:r>
          </w:p>
          <w:p w14:paraId="3B0F9B2F" w14:textId="1EF8BD15" w:rsidR="00127EA9" w:rsidRPr="00127EA9" w:rsidRDefault="00FB1B8A" w:rsidP="002109E6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hyperlink r:id="rId8" w:history="1">
              <w:r w:rsidR="00FF0A74" w:rsidRPr="00431795"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Arrêté du 21-11-2018</w:t>
              </w:r>
            </w:hyperlink>
            <w:r w:rsidR="00FF0A74" w:rsidRPr="00431795">
              <w:rPr>
                <w:rFonts w:ascii="Arial" w:hAnsi="Arial" w:cs="Arial"/>
                <w:sz w:val="14"/>
                <w:szCs w:val="14"/>
              </w:rPr>
              <w:t xml:space="preserve"> modifié relatif aux enseignements dispensés dans les formations sous statut scolaire préparant au baccalauréat professionne</w:t>
            </w:r>
            <w:r w:rsidR="002109E6">
              <w:rPr>
                <w:rFonts w:ascii="Arial" w:hAnsi="Arial" w:cs="Arial"/>
                <w:sz w:val="14"/>
                <w:szCs w:val="14"/>
              </w:rPr>
              <w:t xml:space="preserve">l. </w:t>
            </w:r>
            <w:r w:rsidR="002109E6" w:rsidRPr="002B244C">
              <w:rPr>
                <w:rFonts w:ascii="Arial" w:hAnsi="Arial" w:cs="Arial"/>
                <w:sz w:val="14"/>
                <w:szCs w:val="14"/>
              </w:rPr>
              <w:t xml:space="preserve">Note de service </w:t>
            </w:r>
            <w:hyperlink r:id="rId9" w:history="1">
              <w:r w:rsidR="002109E6">
                <w:rPr>
                  <w:rStyle w:val="Lienhypertexte"/>
                  <w:rFonts w:ascii="Arial" w:hAnsi="Arial" w:cs="Arial"/>
                  <w:sz w:val="14"/>
                  <w:szCs w:val="14"/>
                </w:rPr>
                <w:t>du 15-12-2025</w:t>
              </w:r>
            </w:hyperlink>
            <w:r w:rsidR="002109E6" w:rsidRPr="002B244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109E6" w:rsidRPr="00AC18EB">
              <w:rPr>
                <w:rFonts w:ascii="Arial" w:hAnsi="Arial" w:cs="Arial"/>
                <w:sz w:val="14"/>
                <w:szCs w:val="14"/>
              </w:rPr>
              <w:t>(parcours personnalisé Terminale baccalauréat professionnel).</w:t>
            </w:r>
          </w:p>
        </w:tc>
        <w:tc>
          <w:tcPr>
            <w:tcW w:w="284" w:type="dxa"/>
            <w:gridSpan w:val="2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C423F7">
            <w:pPr>
              <w:ind w:left="219" w:right="101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EA1" w:rsidRPr="00401CCB" w14:paraId="1407D6CA" w14:textId="77777777" w:rsidTr="00FD626C">
        <w:trPr>
          <w:gridAfter w:val="1"/>
          <w:wAfter w:w="377" w:type="dxa"/>
          <w:trHeight w:val="57"/>
        </w:trPr>
        <w:tc>
          <w:tcPr>
            <w:tcW w:w="3261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335EA1" w:rsidRPr="00401CCB" w14:paraId="07196ED3" w14:textId="77777777" w:rsidTr="00FD626C">
        <w:trPr>
          <w:gridAfter w:val="1"/>
          <w:wAfter w:w="377" w:type="dxa"/>
          <w:trHeight w:hRule="exact" w:val="573"/>
        </w:trPr>
        <w:tc>
          <w:tcPr>
            <w:tcW w:w="3261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513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0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335EA1" w:rsidRPr="00401CCB" w14:paraId="179E3F19" w14:textId="77777777" w:rsidTr="00FD626C">
        <w:trPr>
          <w:gridAfter w:val="1"/>
          <w:wAfter w:w="377" w:type="dxa"/>
          <w:trHeight w:hRule="exact" w:val="7994"/>
        </w:trPr>
        <w:tc>
          <w:tcPr>
            <w:tcW w:w="3261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AF148C" w:rsidRPr="00401CCB" w:rsidRDefault="00AF148C" w:rsidP="00AF148C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07CA29B3" w14:textId="77777777" w:rsidR="000206A8" w:rsidRPr="004B1582" w:rsidRDefault="000206A8" w:rsidP="000206A8">
            <w:pPr>
              <w:spacing w:after="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L’accompagnement de l’élève dans son projet d’orientation s’effectue dès la classe de seconde.</w:t>
            </w:r>
          </w:p>
          <w:p w14:paraId="71AE66DB" w14:textId="77777777" w:rsidR="000206A8" w:rsidRPr="004B1582" w:rsidRDefault="000206A8" w:rsidP="000206A8">
            <w:pPr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L’établissement org</w:t>
            </w:r>
            <w:r w:rsidRPr="004B1582">
              <w:rPr>
                <w:rFonts w:ascii="Arial" w:hAnsi="Arial" w:cs="Arial"/>
                <w:bCs/>
                <w:sz w:val="18"/>
                <w:szCs w:val="18"/>
              </w:rPr>
              <w:t>anise pendant l’année de terminale un parcours personnalisé.</w:t>
            </w:r>
          </w:p>
          <w:p w14:paraId="4AACCD8E" w14:textId="77777777" w:rsidR="000206A8" w:rsidRPr="004B1582" w:rsidRDefault="000206A8" w:rsidP="000206A8">
            <w:pPr>
              <w:spacing w:after="60"/>
              <w:ind w:hanging="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Les objectifs de ce parcours sont de :</w:t>
            </w:r>
          </w:p>
          <w:p w14:paraId="62568CF0" w14:textId="77777777" w:rsidR="000206A8" w:rsidRPr="004B1582" w:rsidRDefault="000206A8" w:rsidP="000206A8">
            <w:pPr>
              <w:pStyle w:val="Paragraphedeliste"/>
              <w:numPr>
                <w:ilvl w:val="0"/>
                <w:numId w:val="18"/>
              </w:numPr>
              <w:spacing w:after="60"/>
              <w:ind w:left="321" w:hanging="287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renforcer l’employabilité des élèves qui souhaitent s’insérer directement après le baccalauréat ;</w:t>
            </w:r>
          </w:p>
          <w:p w14:paraId="2D69B08D" w14:textId="77777777" w:rsidR="000206A8" w:rsidRPr="004B1582" w:rsidRDefault="000206A8" w:rsidP="000206A8">
            <w:pPr>
              <w:pStyle w:val="Paragraphedeliste"/>
              <w:numPr>
                <w:ilvl w:val="0"/>
                <w:numId w:val="18"/>
              </w:numPr>
              <w:spacing w:after="60"/>
              <w:ind w:left="321" w:hanging="287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mieux préparer ceux qui souhaitent poursuivre leurs études.</w:t>
            </w:r>
          </w:p>
          <w:p w14:paraId="4AA6D123" w14:textId="77777777" w:rsidR="000206A8" w:rsidRPr="004B1582" w:rsidRDefault="000206A8" w:rsidP="000206A8">
            <w:pPr>
              <w:spacing w:after="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Deux parcours sont donc proposés aux élèves :</w:t>
            </w:r>
          </w:p>
          <w:p w14:paraId="7CB2033A" w14:textId="77777777" w:rsidR="000206A8" w:rsidRPr="004B1582" w:rsidRDefault="000206A8" w:rsidP="000206A8">
            <w:pPr>
              <w:pStyle w:val="Paragraphedeliste"/>
              <w:numPr>
                <w:ilvl w:val="0"/>
                <w:numId w:val="19"/>
              </w:numPr>
              <w:spacing w:after="60"/>
              <w:ind w:left="321" w:hanging="28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 parcours de préparation à l’insertion professionnelle ;</w:t>
            </w:r>
          </w:p>
          <w:p w14:paraId="5432CE44" w14:textId="77777777" w:rsidR="000206A8" w:rsidRPr="004B1582" w:rsidRDefault="000206A8" w:rsidP="000206A8">
            <w:pPr>
              <w:pStyle w:val="Paragraphedeliste"/>
              <w:numPr>
                <w:ilvl w:val="0"/>
                <w:numId w:val="19"/>
              </w:numPr>
              <w:spacing w:after="60"/>
              <w:ind w:left="321" w:hanging="28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un parcours de préparation à la </w:t>
            </w:r>
            <w:r w:rsidRPr="004B1582">
              <w:rPr>
                <w:rFonts w:ascii="Arial" w:hAnsi="Arial" w:cs="Arial"/>
                <w:bCs/>
                <w:sz w:val="18"/>
                <w:szCs w:val="18"/>
              </w:rPr>
              <w:t>poursuite d’études, notamment dans l’enseignement supérieur.</w:t>
            </w:r>
          </w:p>
          <w:p w14:paraId="3C1FECD5" w14:textId="77777777" w:rsidR="000206A8" w:rsidRPr="004B1582" w:rsidRDefault="000206A8" w:rsidP="000206A8">
            <w:pPr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sz w:val="18"/>
                <w:szCs w:val="18"/>
              </w:rPr>
              <w:t xml:space="preserve">Une collaboration entre les enseignants de lycée professionnel et ceux de l’enseignement supérieur est vivement encouragée : </w:t>
            </w:r>
          </w:p>
          <w:p w14:paraId="10B5C608" w14:textId="77777777" w:rsidR="000206A8" w:rsidRDefault="000206A8" w:rsidP="000206A8">
            <w:pPr>
              <w:pStyle w:val="Paragraphedeliste"/>
              <w:numPr>
                <w:ilvl w:val="0"/>
                <w:numId w:val="20"/>
              </w:numPr>
              <w:spacing w:after="60"/>
              <w:ind w:left="321" w:hanging="284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4B1582">
              <w:rPr>
                <w:rFonts w:ascii="Arial" w:hAnsi="Arial" w:cs="Arial"/>
                <w:bCs/>
                <w:sz w:val="18"/>
                <w:szCs w:val="18"/>
              </w:rPr>
              <w:t>parcours de préparation à la poursuite d’études (mesure 4) ;</w:t>
            </w:r>
          </w:p>
          <w:p w14:paraId="537505FA" w14:textId="0676A572" w:rsidR="00AF148C" w:rsidRPr="000206A8" w:rsidRDefault="000206A8" w:rsidP="000206A8">
            <w:pPr>
              <w:pStyle w:val="Paragraphedeliste"/>
              <w:numPr>
                <w:ilvl w:val="0"/>
                <w:numId w:val="20"/>
              </w:numPr>
              <w:spacing w:after="60"/>
              <w:ind w:left="321" w:hanging="284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0206A8">
              <w:rPr>
                <w:rFonts w:ascii="Arial" w:hAnsi="Arial" w:cs="Arial"/>
                <w:bCs/>
                <w:sz w:val="18"/>
                <w:szCs w:val="18"/>
              </w:rPr>
              <w:t>parcours de consolidation en 1</w:t>
            </w:r>
            <w:r w:rsidRPr="000206A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ère</w:t>
            </w:r>
            <w:r w:rsidRPr="000206A8">
              <w:rPr>
                <w:rFonts w:ascii="Arial" w:hAnsi="Arial" w:cs="Arial"/>
                <w:bCs/>
                <w:sz w:val="18"/>
                <w:szCs w:val="18"/>
              </w:rPr>
              <w:t xml:space="preserve"> année de BTS (mesure 5.3).</w:t>
            </w:r>
            <w:r w:rsidR="00AF148C" w:rsidRPr="000206A8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AF148C" w:rsidRPr="00401CCB" w:rsidRDefault="00AF148C" w:rsidP="00AF148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7513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AF148C" w:rsidRPr="00401CCB" w:rsidRDefault="00AF148C" w:rsidP="001B0BDD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0E4A7377" w14:textId="77777777" w:rsidR="00FD626C" w:rsidRPr="00FD626C" w:rsidRDefault="00FD626C" w:rsidP="00FD626C">
            <w:pPr>
              <w:widowControl w:val="0"/>
              <w:tabs>
                <w:tab w:val="left" w:pos="323"/>
              </w:tabs>
              <w:spacing w:after="60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Organisation et préparation du parcours personnalisé </w:t>
            </w:r>
          </w:p>
          <w:p w14:paraId="79446E69" w14:textId="77777777" w:rsidR="00FD626C" w:rsidRDefault="00FD626C" w:rsidP="00FD626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>Comment les heures de soutien au parcours sont-elles organisées tout au long du cycle de formation de l’élève ? Des instances et/ou des réunions dédiées ont-elles été mises en place ? Lesquelles ?</w:t>
            </w:r>
          </w:p>
          <w:p w14:paraId="1BA397B8" w14:textId="77777777" w:rsidR="00FD626C" w:rsidRDefault="00FD626C" w:rsidP="00FD626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>Comment l’accompagnement dans le choix de la préparation à l’insertion dans l’emploi et à la poursuite d’études a-t-il été effectué depuis la seconde et en classe de terminale ?</w:t>
            </w:r>
          </w:p>
          <w:p w14:paraId="748B9085" w14:textId="77777777" w:rsidR="00FD626C" w:rsidRDefault="00FD626C" w:rsidP="00FD626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 xml:space="preserve">Les fiches dialogues ont-elles fait l’objet de temps de préparation, d’échanges avec les élèves, les parents ? </w:t>
            </w:r>
          </w:p>
          <w:p w14:paraId="176A0FDF" w14:textId="77777777" w:rsidR="00FD626C" w:rsidRDefault="00FD626C" w:rsidP="00FD626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>Comment le parcours personnalisé est-il organisé tout au long de l'année de terminale ? Quels professeurs sont mobilisés et selon quels critères ? quelles sont les modalités d'intervention mises en place auprès des élèves ?</w:t>
            </w:r>
          </w:p>
          <w:p w14:paraId="43A4257F" w14:textId="77777777" w:rsidR="00FD626C" w:rsidRDefault="00FD626C" w:rsidP="00FD626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>Les dates de programmation des CCF permettent-elles un temps maximal de formation pour les élèves ?</w:t>
            </w:r>
          </w:p>
          <w:p w14:paraId="45A6B9B4" w14:textId="4360EA29" w:rsidR="007933E5" w:rsidRPr="00FD626C" w:rsidRDefault="00FD626C" w:rsidP="00FD626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>Comment la progression et la programmation de séances relevant du parcours personnalisé sont-elles organisées dès le début d’année ? Comment les ressources proposées par la D</w:t>
            </w:r>
            <w:r>
              <w:rPr>
                <w:rFonts w:ascii="Arial" w:eastAsia="MS Mincho" w:hAnsi="Arial" w:cs="Arial"/>
                <w:sz w:val="18"/>
                <w:szCs w:val="18"/>
              </w:rPr>
              <w:t>gesco</w:t>
            </w:r>
            <w:r w:rsidRPr="00FD626C">
              <w:rPr>
                <w:rFonts w:ascii="Arial" w:eastAsia="MS Mincho" w:hAnsi="Arial" w:cs="Arial"/>
                <w:sz w:val="18"/>
                <w:szCs w:val="18"/>
              </w:rPr>
              <w:t xml:space="preserve"> sur </w:t>
            </w:r>
            <w:r w:rsidRPr="00FD626C">
              <w:rPr>
                <w:rFonts w:ascii="Arial" w:eastAsia="MS Mincho" w:hAnsi="Arial" w:cs="Arial"/>
                <w:sz w:val="18"/>
                <w:szCs w:val="18"/>
              </w:rPr>
              <w:t>É</w:t>
            </w:r>
            <w:r>
              <w:rPr>
                <w:rFonts w:ascii="Arial" w:eastAsia="MS Mincho" w:hAnsi="Arial" w:cs="Arial"/>
                <w:sz w:val="18"/>
                <w:szCs w:val="18"/>
              </w:rPr>
              <w:t>duscol</w:t>
            </w:r>
            <w:r w:rsidRPr="00FD626C">
              <w:rPr>
                <w:rFonts w:ascii="Arial" w:eastAsia="MS Mincho" w:hAnsi="Arial" w:cs="Arial"/>
                <w:sz w:val="18"/>
                <w:szCs w:val="18"/>
              </w:rPr>
              <w:t xml:space="preserve"> sont-elles intégrées ?</w:t>
            </w:r>
          </w:p>
          <w:p w14:paraId="3252420E" w14:textId="77777777" w:rsidR="00FD626C" w:rsidRPr="00FD626C" w:rsidRDefault="00FD626C" w:rsidP="00FD626C">
            <w:pPr>
              <w:widowControl w:val="0"/>
              <w:tabs>
                <w:tab w:val="left" w:pos="323"/>
              </w:tabs>
              <w:spacing w:after="60"/>
              <w:ind w:right="-108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La mise en œuvre de la préparation à l’insertion professionnelle </w:t>
            </w:r>
          </w:p>
          <w:p w14:paraId="6ADFBC0D" w14:textId="77777777" w:rsidR="00FD626C" w:rsidRDefault="007933E5" w:rsidP="00FD626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1B0BDD">
              <w:rPr>
                <w:rFonts w:ascii="Arial" w:eastAsia="MS Mincho" w:hAnsi="Arial" w:cs="Arial"/>
                <w:sz w:val="18"/>
                <w:szCs w:val="18"/>
              </w:rPr>
              <w:t xml:space="preserve">Comment est organisée la progression sur l’année ? La séance de </w:t>
            </w:r>
            <w:proofErr w:type="spellStart"/>
            <w:r w:rsidRPr="001B0BDD">
              <w:rPr>
                <w:rFonts w:ascii="Arial" w:eastAsia="MS Mincho" w:hAnsi="Arial" w:cs="Arial"/>
                <w:sz w:val="18"/>
                <w:szCs w:val="18"/>
              </w:rPr>
              <w:t>co</w:t>
            </w:r>
            <w:proofErr w:type="spellEnd"/>
            <w:r w:rsidRPr="001B0BDD">
              <w:rPr>
                <w:rFonts w:ascii="Arial" w:eastAsia="MS Mincho" w:hAnsi="Arial" w:cs="Arial"/>
                <w:sz w:val="18"/>
                <w:szCs w:val="18"/>
              </w:rPr>
              <w:t xml:space="preserve">-intervention s’appuie-t-elle sur une situation professionnelle issue du RAP ou est-elle associée à un projet ? si oui, lequel ? S’inscrit-elle dans le cadre d’un scénario pédagogique </w:t>
            </w:r>
            <w:proofErr w:type="spellStart"/>
            <w:r w:rsidRPr="001B0BDD">
              <w:rPr>
                <w:rFonts w:ascii="Arial" w:eastAsia="MS Mincho" w:hAnsi="Arial" w:cs="Arial"/>
                <w:sz w:val="18"/>
                <w:szCs w:val="18"/>
              </w:rPr>
              <w:t>co-construit</w:t>
            </w:r>
            <w:proofErr w:type="spellEnd"/>
            <w:r w:rsidRPr="001B0BDD">
              <w:rPr>
                <w:rFonts w:ascii="Arial" w:eastAsia="MS Mincho" w:hAnsi="Arial" w:cs="Arial"/>
                <w:sz w:val="18"/>
                <w:szCs w:val="18"/>
              </w:rPr>
              <w:t xml:space="preserve"> ?</w:t>
            </w:r>
          </w:p>
          <w:p w14:paraId="307B1BCF" w14:textId="77777777" w:rsidR="00FD626C" w:rsidRDefault="00FD626C" w:rsidP="00FD626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 xml:space="preserve">Cette préparation est-elle réalisée lors de séances, notamment de soutien au parcours, qui se déroulent sur toute l’année scolaire ? </w:t>
            </w:r>
          </w:p>
          <w:p w14:paraId="0C293425" w14:textId="77777777" w:rsidR="00FD626C" w:rsidRDefault="00FD626C" w:rsidP="00FD626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 xml:space="preserve">Les élèves ont-ils été accompagnés dans la recherche d’entreprises ? dans la signature des conventions ? Qu’en est-il des élèves qui restent sans solution d’accueil en milieu professionnel ? </w:t>
            </w:r>
          </w:p>
          <w:p w14:paraId="24705B83" w14:textId="77777777" w:rsidR="00FD626C" w:rsidRDefault="00FD626C" w:rsidP="00FD626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 xml:space="preserve">Comment est organisé le suivi des élèves en milieu professionnel ? </w:t>
            </w:r>
          </w:p>
          <w:p w14:paraId="0C238CC2" w14:textId="0BD278C9" w:rsidR="007933E5" w:rsidRPr="00FD626C" w:rsidRDefault="00FD626C" w:rsidP="00FD626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spacing w:after="60"/>
              <w:ind w:left="318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>L'employabilité constitue-t-elle un axe central des stratégies et actions mises en place par l'équipe ? Comment les compétences psychosociales sont-elles développées ?</w:t>
            </w:r>
          </w:p>
          <w:p w14:paraId="556D56CA" w14:textId="72C333CA" w:rsidR="00AF148C" w:rsidRPr="00935DEE" w:rsidRDefault="00AF148C" w:rsidP="007933E5">
            <w:pPr>
              <w:tabs>
                <w:tab w:val="left" w:pos="2595"/>
              </w:tabs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AF148C" w:rsidRPr="00401CCB" w:rsidRDefault="00AF148C" w:rsidP="00AF148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470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C5CA21A" w14:textId="4FD34254" w:rsidR="00AF148C" w:rsidRPr="00C423F7" w:rsidRDefault="00AF148C" w:rsidP="000561AD">
            <w:pPr>
              <w:spacing w:before="60" w:after="120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>Exemples</w:t>
            </w:r>
            <w:r w:rsidR="00C423F7">
              <w:rPr>
                <w:rFonts w:ascii="Arial" w:hAnsi="Arial" w:cs="Arial"/>
                <w:b/>
                <w:color w:val="EE7444"/>
              </w:rPr>
              <w:t xml:space="preserve"> </w:t>
            </w:r>
            <w:r w:rsidRPr="00401CCB">
              <w:rPr>
                <w:rFonts w:ascii="Arial" w:hAnsi="Arial" w:cs="Arial"/>
                <w:b/>
                <w:color w:val="EE7444"/>
              </w:rPr>
              <w:t>d’</w:t>
            </w:r>
            <w:r w:rsidR="00857CAE">
              <w:rPr>
                <w:rFonts w:ascii="Arial" w:hAnsi="Arial" w:cs="Arial"/>
                <w:b/>
                <w:color w:val="EE7444"/>
              </w:rPr>
              <w:t>outils et d’</w:t>
            </w:r>
            <w:r w:rsidRPr="00401CCB">
              <w:rPr>
                <w:rFonts w:ascii="Arial" w:hAnsi="Arial" w:cs="Arial"/>
                <w:b/>
                <w:color w:val="EE7444"/>
              </w:rPr>
              <w:t>indicateurs de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49D48C4F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 d’élèves volontaires pour suivre respectivement chacune des deux préparations</w:t>
            </w:r>
          </w:p>
          <w:p w14:paraId="7A179706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Écart recommandation conseil de classe et choix de l’élève</w:t>
            </w:r>
          </w:p>
          <w:p w14:paraId="7609C9B2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Écart vœux fiches dialogue et inscrits effectifs</w:t>
            </w:r>
          </w:p>
          <w:p w14:paraId="708BB011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 d’élèves inscrits et présents pour chaque préparation</w:t>
            </w:r>
          </w:p>
          <w:p w14:paraId="39EE6680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 d’élèves ayant suivi assidument la préparation à la poursuite d’études</w:t>
            </w:r>
          </w:p>
          <w:p w14:paraId="09DF0CC0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 d’élèves ayant effectué l’ensemble de la préparation insertion pro</w:t>
            </w:r>
          </w:p>
          <w:p w14:paraId="4CF8E9D5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Nombres de conventions signées</w:t>
            </w:r>
          </w:p>
          <w:p w14:paraId="042F602E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Participation des parents à la fiche dialogue, à divers échanges…</w:t>
            </w:r>
          </w:p>
          <w:p w14:paraId="28898959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 xml:space="preserve">Nombre d’élèves ayant formulé un ou plusieurs vœux Parcoursup </w:t>
            </w:r>
          </w:p>
          <w:p w14:paraId="3F66DD7E" w14:textId="1A29D34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Écart</w:t>
            </w:r>
            <w:r w:rsidRPr="004B1582">
              <w:rPr>
                <w:rFonts w:ascii="Arial" w:hAnsi="Arial" w:cs="Arial"/>
                <w:sz w:val="18"/>
                <w:szCs w:val="18"/>
              </w:rPr>
              <w:t xml:space="preserve"> entre</w:t>
            </w:r>
            <w:r>
              <w:rPr>
                <w:rFonts w:ascii="Arial" w:hAnsi="Arial" w:cs="Arial"/>
                <w:sz w:val="18"/>
                <w:szCs w:val="18"/>
              </w:rPr>
              <w:t xml:space="preserve"> les</w:t>
            </w:r>
            <w:r w:rsidRPr="004B1582">
              <w:rPr>
                <w:rFonts w:ascii="Arial" w:hAnsi="Arial" w:cs="Arial"/>
                <w:sz w:val="18"/>
                <w:szCs w:val="18"/>
              </w:rPr>
              <w:t xml:space="preserve"> inscriptions Parcoursup et </w:t>
            </w:r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r w:rsidRPr="004B1582">
              <w:rPr>
                <w:rFonts w:ascii="Arial" w:hAnsi="Arial" w:cs="Arial"/>
                <w:sz w:val="18"/>
                <w:szCs w:val="18"/>
              </w:rPr>
              <w:t>inscriptions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au</w:t>
            </w:r>
            <w:r w:rsidRPr="004B1582">
              <w:rPr>
                <w:rFonts w:ascii="Arial" w:hAnsi="Arial" w:cs="Arial"/>
                <w:sz w:val="18"/>
                <w:szCs w:val="18"/>
              </w:rPr>
              <w:t xml:space="preserve"> parcours de préparation poursuite d’études</w:t>
            </w:r>
          </w:p>
          <w:p w14:paraId="684C1385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 d’élèves ayant choisi des études par apprentissage et répartition dans chacun des deux parcours</w:t>
            </w:r>
          </w:p>
          <w:p w14:paraId="4995D2F9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Plan d’organisation de l’année : calendrier des CCF</w:t>
            </w:r>
          </w:p>
          <w:p w14:paraId="13CB6563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 xml:space="preserve">Différentes étapes de l’accompagnement à l’orientation </w:t>
            </w:r>
          </w:p>
          <w:p w14:paraId="7CFD5303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Organisation des heures de soutien</w:t>
            </w:r>
          </w:p>
          <w:p w14:paraId="1D66A84E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Grille(s) horaire(s) retenue(s)</w:t>
            </w:r>
          </w:p>
          <w:p w14:paraId="4DB72A0E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Planning hebdomadaire du travail personnel</w:t>
            </w:r>
          </w:p>
          <w:p w14:paraId="06D540C4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Plan de communication, stratégie, outils…</w:t>
            </w:r>
          </w:p>
          <w:p w14:paraId="3E226556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Documents de présentation des contenus</w:t>
            </w:r>
          </w:p>
          <w:p w14:paraId="48966EAE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Types de canaux de communication mobilisés</w:t>
            </w:r>
          </w:p>
          <w:p w14:paraId="4E20EC44" w14:textId="77777777" w:rsidR="00335EA1" w:rsidRPr="004B1582" w:rsidRDefault="00335EA1" w:rsidP="00335EA1">
            <w:pPr>
              <w:widowControl w:val="0"/>
              <w:tabs>
                <w:tab w:val="left" w:pos="3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Enquêtes élèves, bilans des enseignants</w:t>
            </w:r>
          </w:p>
          <w:p w14:paraId="496DE2AF" w14:textId="6014CB7C" w:rsidR="00AF148C" w:rsidRPr="00401CCB" w:rsidRDefault="00335EA1" w:rsidP="00335EA1">
            <w:pPr>
              <w:widowControl w:val="0"/>
              <w:tabs>
                <w:tab w:val="left" w:pos="323"/>
              </w:tabs>
              <w:spacing w:after="60"/>
              <w:ind w:right="-7"/>
              <w:rPr>
                <w:rFonts w:ascii="Arial" w:eastAsia="MS Mincho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 xml:space="preserve">Suivi de la cohorte année N+1 </w:t>
            </w:r>
          </w:p>
        </w:tc>
      </w:tr>
    </w:tbl>
    <w:p w14:paraId="3DE7EA64" w14:textId="77777777" w:rsidR="00DB56D0" w:rsidRDefault="00DB56D0" w:rsidP="00DB56D0"/>
    <w:tbl>
      <w:tblPr>
        <w:tblStyle w:val="Grilledutableau2"/>
        <w:tblW w:w="15988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2836"/>
        <w:gridCol w:w="283"/>
        <w:gridCol w:w="8789"/>
        <w:gridCol w:w="283"/>
        <w:gridCol w:w="3200"/>
        <w:gridCol w:w="597"/>
      </w:tblGrid>
      <w:tr w:rsidR="00300716" w:rsidRPr="00935DEE" w14:paraId="5D6B2049" w14:textId="77777777" w:rsidTr="00857CAE">
        <w:trPr>
          <w:gridAfter w:val="1"/>
          <w:wAfter w:w="597" w:type="dxa"/>
          <w:trHeight w:hRule="exact" w:val="1175"/>
        </w:trPr>
        <w:tc>
          <w:tcPr>
            <w:tcW w:w="11908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1A1EF488" w14:textId="3870ADD8" w:rsidR="00CC3322" w:rsidRPr="006D1CF6" w:rsidRDefault="002109E6" w:rsidP="00857CAE">
            <w:pPr>
              <w:pStyle w:val="Titre2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2109E6">
              <w:rPr>
                <w:rFonts w:ascii="Arial" w:hAnsi="Arial" w:cs="Arial"/>
                <w:sz w:val="30"/>
                <w:szCs w:val="30"/>
                <w:lang w:val="fr-FR"/>
              </w:rPr>
              <w:t xml:space="preserve">1.20 Mettre en œuvre le parcours personnalisé en classe de terminale baccalauréat professionnel </w:t>
            </w:r>
            <w:r w:rsidR="00CC3322">
              <w:rPr>
                <w:rFonts w:ascii="Arial" w:hAnsi="Arial" w:cs="Arial"/>
                <w:sz w:val="30"/>
                <w:szCs w:val="30"/>
                <w:lang w:val="fr-FR"/>
              </w:rPr>
              <w:t>(</w:t>
            </w:r>
            <w:r w:rsidR="00FF0A74">
              <w:rPr>
                <w:rFonts w:ascii="Arial" w:hAnsi="Arial" w:cs="Arial"/>
                <w:sz w:val="30"/>
                <w:szCs w:val="30"/>
                <w:lang w:val="fr-FR"/>
              </w:rPr>
              <w:t>2</w:t>
            </w:r>
            <w:r w:rsidR="00CC3322">
              <w:rPr>
                <w:rFonts w:ascii="Arial" w:hAnsi="Arial" w:cs="Arial"/>
                <w:sz w:val="30"/>
                <w:szCs w:val="30"/>
                <w:lang w:val="fr-FR"/>
              </w:rPr>
              <w:t>/2)</w:t>
            </w:r>
          </w:p>
          <w:p w14:paraId="5279AB39" w14:textId="50CDF713" w:rsidR="00300716" w:rsidRPr="00300716" w:rsidRDefault="00FB1B8A" w:rsidP="0048139E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hyperlink r:id="rId11" w:history="1">
              <w:r w:rsidR="0048139E" w:rsidRPr="00431795"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Arrêté du 21-11-2018</w:t>
              </w:r>
            </w:hyperlink>
            <w:r w:rsidR="0048139E" w:rsidRPr="00431795">
              <w:rPr>
                <w:rFonts w:ascii="Arial" w:hAnsi="Arial" w:cs="Arial"/>
                <w:sz w:val="14"/>
                <w:szCs w:val="14"/>
              </w:rPr>
              <w:t xml:space="preserve"> modifié relatif aux enseignements dispensés dans les formations sous statut scolaire préparant au baccalauréat professionnel. </w:t>
            </w:r>
            <w:r w:rsidR="002109E6" w:rsidRPr="002B244C">
              <w:rPr>
                <w:rFonts w:ascii="Arial" w:hAnsi="Arial" w:cs="Arial"/>
                <w:sz w:val="14"/>
                <w:szCs w:val="14"/>
              </w:rPr>
              <w:t xml:space="preserve">Note de service </w:t>
            </w:r>
            <w:hyperlink r:id="rId12" w:history="1">
              <w:r w:rsidR="002109E6">
                <w:rPr>
                  <w:rStyle w:val="Lienhypertexte"/>
                  <w:rFonts w:ascii="Arial" w:hAnsi="Arial" w:cs="Arial"/>
                  <w:sz w:val="14"/>
                  <w:szCs w:val="14"/>
                </w:rPr>
                <w:t>du 15-12-2025</w:t>
              </w:r>
            </w:hyperlink>
            <w:r w:rsidR="002109E6" w:rsidRPr="002B244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109E6" w:rsidRPr="00AC18EB">
              <w:rPr>
                <w:rFonts w:ascii="Arial" w:hAnsi="Arial" w:cs="Arial"/>
                <w:sz w:val="14"/>
                <w:szCs w:val="14"/>
              </w:rPr>
              <w:t>(parcours personnalisé Terminale baccalauréat professionnel).</w:t>
            </w:r>
          </w:p>
        </w:tc>
        <w:tc>
          <w:tcPr>
            <w:tcW w:w="283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20AA93A8" w14:textId="77777777" w:rsidR="00300716" w:rsidRPr="00935DEE" w:rsidRDefault="00300716" w:rsidP="00A952E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F67BA" w14:textId="77777777" w:rsidR="00300716" w:rsidRPr="00935DEE" w:rsidRDefault="00300716" w:rsidP="00C423F7">
            <w:pPr>
              <w:ind w:left="363" w:right="69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935DEE">
              <w:rPr>
                <w:noProof/>
                <w:lang w:eastAsia="fr-FR"/>
              </w:rPr>
              <w:drawing>
                <wp:inline distT="0" distB="0" distL="0" distR="0" wp14:anchorId="673C0522" wp14:editId="049DE07E">
                  <wp:extent cx="1438275" cy="57150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CAE" w:rsidRPr="00935DEE" w14:paraId="048F3E6A" w14:textId="77777777" w:rsidTr="00B43F95">
        <w:trPr>
          <w:trHeight w:val="57"/>
        </w:trPr>
        <w:tc>
          <w:tcPr>
            <w:tcW w:w="2836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71C288ED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BE854" w14:textId="77777777" w:rsidR="00300716" w:rsidRPr="00935DEE" w:rsidRDefault="00300716" w:rsidP="00A952ED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6DCBEA7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AC1DE" w14:textId="77777777" w:rsidR="00300716" w:rsidRPr="00935DEE" w:rsidRDefault="00300716" w:rsidP="00A952ED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3F3C3A24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857CAE" w:rsidRPr="00935DEE" w14:paraId="1CA2790C" w14:textId="77777777" w:rsidTr="00B43F95">
        <w:trPr>
          <w:trHeight w:hRule="exact" w:val="573"/>
        </w:trPr>
        <w:tc>
          <w:tcPr>
            <w:tcW w:w="2836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65A18FE" w14:textId="77777777" w:rsidR="00300716" w:rsidRPr="00935DEE" w:rsidRDefault="00300716" w:rsidP="00A952ED">
            <w:pPr>
              <w:ind w:right="-108"/>
              <w:rPr>
                <w:rFonts w:ascii="Arial" w:hAnsi="Arial" w:cs="Arial"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935DEE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97D6964" w14:textId="77777777" w:rsidR="00300716" w:rsidRPr="00935DEE" w:rsidRDefault="00300716" w:rsidP="00A952E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789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6B41061B" w14:textId="77777777" w:rsidR="00300716" w:rsidRPr="00935DEE" w:rsidRDefault="00300716" w:rsidP="00A952ED">
            <w:pPr>
              <w:rPr>
                <w:rFonts w:ascii="Arial" w:hAnsi="Arial" w:cs="Arial"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935DEE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8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38941F6A" w14:textId="77777777" w:rsidR="00300716" w:rsidRPr="00935DEE" w:rsidRDefault="00300716" w:rsidP="00A952E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97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2585E4AD" w14:textId="77777777" w:rsidR="00300716" w:rsidRPr="00935DEE" w:rsidRDefault="00300716" w:rsidP="00A952ED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935DEE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Pr="00935DEE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857CAE" w:rsidRPr="00935DEE" w14:paraId="2D59C089" w14:textId="77777777" w:rsidTr="00B43F95">
        <w:trPr>
          <w:trHeight w:hRule="exact" w:val="8391"/>
        </w:trPr>
        <w:tc>
          <w:tcPr>
            <w:tcW w:w="2836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200A7DAE" w14:textId="77777777" w:rsidR="000561AD" w:rsidRPr="00935DEE" w:rsidRDefault="000561AD" w:rsidP="000561AD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287ADC8D" w14:textId="77777777" w:rsidR="000206A8" w:rsidRPr="004B1582" w:rsidRDefault="000206A8" w:rsidP="00B43F95">
            <w:pPr>
              <w:spacing w:after="4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L’accompagnement de l’élève dans son projet d’orientation s’effectue dès la classe de seconde.</w:t>
            </w:r>
          </w:p>
          <w:p w14:paraId="0C6BD72E" w14:textId="77777777" w:rsidR="000206A8" w:rsidRPr="004B1582" w:rsidRDefault="000206A8" w:rsidP="00B43F95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L’établissement org</w:t>
            </w:r>
            <w:r w:rsidRPr="004B1582">
              <w:rPr>
                <w:rFonts w:ascii="Arial" w:hAnsi="Arial" w:cs="Arial"/>
                <w:bCs/>
                <w:sz w:val="18"/>
                <w:szCs w:val="18"/>
              </w:rPr>
              <w:t>anise pendant l’année de terminale un parcours personnalisé.</w:t>
            </w:r>
          </w:p>
          <w:p w14:paraId="202ABDE7" w14:textId="77777777" w:rsidR="000206A8" w:rsidRPr="004B1582" w:rsidRDefault="000206A8" w:rsidP="00B43F95">
            <w:pPr>
              <w:spacing w:after="40"/>
              <w:ind w:hanging="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Les objectifs de ce parcours sont de :</w:t>
            </w:r>
          </w:p>
          <w:p w14:paraId="22C4179E" w14:textId="77777777" w:rsidR="000206A8" w:rsidRPr="004B1582" w:rsidRDefault="000206A8" w:rsidP="00B43F95">
            <w:pPr>
              <w:pStyle w:val="Paragraphedeliste"/>
              <w:numPr>
                <w:ilvl w:val="0"/>
                <w:numId w:val="18"/>
              </w:numPr>
              <w:ind w:left="323" w:hanging="28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renforcer l’employabilité des élèves qui souhaitent s’insérer directement après le baccalauréat ;</w:t>
            </w:r>
          </w:p>
          <w:p w14:paraId="57CAD3ED" w14:textId="77777777" w:rsidR="000206A8" w:rsidRPr="004B1582" w:rsidRDefault="000206A8" w:rsidP="00B43F95">
            <w:pPr>
              <w:pStyle w:val="Paragraphedeliste"/>
              <w:numPr>
                <w:ilvl w:val="0"/>
                <w:numId w:val="18"/>
              </w:numPr>
              <w:spacing w:after="40"/>
              <w:ind w:left="321" w:hanging="287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mieux préparer ceux qui souhaitent poursuivre leurs études.</w:t>
            </w:r>
          </w:p>
          <w:p w14:paraId="1B310889" w14:textId="77777777" w:rsidR="000206A8" w:rsidRPr="004B1582" w:rsidRDefault="000206A8" w:rsidP="00B43F95">
            <w:pPr>
              <w:spacing w:after="4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Deux parcours sont donc proposés aux élèves :</w:t>
            </w:r>
          </w:p>
          <w:p w14:paraId="432136A7" w14:textId="77777777" w:rsidR="000206A8" w:rsidRPr="004B1582" w:rsidRDefault="000206A8" w:rsidP="00B43F95">
            <w:pPr>
              <w:pStyle w:val="Paragraphedeliste"/>
              <w:numPr>
                <w:ilvl w:val="0"/>
                <w:numId w:val="19"/>
              </w:numPr>
              <w:ind w:left="321" w:hanging="28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</w:t>
            </w:r>
            <w:proofErr w:type="gramEnd"/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parcours de préparation à l’insertion professionnelle ;</w:t>
            </w:r>
          </w:p>
          <w:p w14:paraId="6C3A7810" w14:textId="77777777" w:rsidR="000206A8" w:rsidRPr="004B1582" w:rsidRDefault="000206A8" w:rsidP="00B43F95">
            <w:pPr>
              <w:pStyle w:val="Paragraphedeliste"/>
              <w:numPr>
                <w:ilvl w:val="0"/>
                <w:numId w:val="19"/>
              </w:numPr>
              <w:spacing w:after="40"/>
              <w:ind w:left="321" w:hanging="28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un parcours de préparation à la </w:t>
            </w:r>
            <w:r w:rsidRPr="004B1582">
              <w:rPr>
                <w:rFonts w:ascii="Arial" w:hAnsi="Arial" w:cs="Arial"/>
                <w:bCs/>
                <w:sz w:val="18"/>
                <w:szCs w:val="18"/>
              </w:rPr>
              <w:t>poursuite d’études, notamment dans l’enseignement supérieur.</w:t>
            </w:r>
          </w:p>
          <w:p w14:paraId="1A1CDE06" w14:textId="77777777" w:rsidR="000206A8" w:rsidRPr="004B1582" w:rsidRDefault="000206A8" w:rsidP="00B43F95">
            <w:pPr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B1582">
              <w:rPr>
                <w:rFonts w:ascii="Arial" w:hAnsi="Arial" w:cs="Arial"/>
                <w:bCs/>
                <w:sz w:val="18"/>
                <w:szCs w:val="18"/>
              </w:rPr>
              <w:t xml:space="preserve">Une collaboration entre les enseignants de lycée professionnel et ceux de l’enseignement supérieur est vivement encouragée : </w:t>
            </w:r>
          </w:p>
          <w:p w14:paraId="298C81BE" w14:textId="77777777" w:rsidR="000206A8" w:rsidRDefault="000206A8" w:rsidP="00B43F95">
            <w:pPr>
              <w:pStyle w:val="Paragraphedeliste"/>
              <w:numPr>
                <w:ilvl w:val="0"/>
                <w:numId w:val="20"/>
              </w:numPr>
              <w:ind w:left="321" w:hanging="284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4B1582">
              <w:rPr>
                <w:rFonts w:ascii="Arial" w:hAnsi="Arial" w:cs="Arial"/>
                <w:bCs/>
                <w:sz w:val="18"/>
                <w:szCs w:val="18"/>
              </w:rPr>
              <w:t>parcours de préparation à la poursuite d’études (mesure 4) ;</w:t>
            </w:r>
          </w:p>
          <w:p w14:paraId="2DB70B5C" w14:textId="5D0BD237" w:rsidR="000561AD" w:rsidRPr="000206A8" w:rsidRDefault="000206A8" w:rsidP="00B43F95">
            <w:pPr>
              <w:pStyle w:val="Paragraphedeliste"/>
              <w:numPr>
                <w:ilvl w:val="0"/>
                <w:numId w:val="20"/>
              </w:numPr>
              <w:ind w:left="321" w:hanging="284"/>
              <w:rPr>
                <w:rFonts w:ascii="Arial" w:hAnsi="Arial" w:cs="Arial"/>
                <w:bCs/>
                <w:sz w:val="18"/>
                <w:szCs w:val="18"/>
                <w:lang w:eastAsia="fr-FR"/>
              </w:rPr>
            </w:pPr>
            <w:r w:rsidRPr="000206A8">
              <w:rPr>
                <w:rFonts w:ascii="Arial" w:hAnsi="Arial" w:cs="Arial"/>
                <w:bCs/>
                <w:sz w:val="18"/>
                <w:szCs w:val="18"/>
              </w:rPr>
              <w:t>parcours de consolidation en 1</w:t>
            </w:r>
            <w:r w:rsidRPr="000206A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ère</w:t>
            </w:r>
            <w:r w:rsidRPr="000206A8">
              <w:rPr>
                <w:rFonts w:ascii="Arial" w:hAnsi="Arial" w:cs="Arial"/>
                <w:bCs/>
                <w:sz w:val="18"/>
                <w:szCs w:val="18"/>
              </w:rPr>
              <w:t xml:space="preserve"> année de BTS (mesure 5.3).</w:t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623B88C9" w14:textId="77777777" w:rsidR="000561AD" w:rsidRPr="00935DEE" w:rsidRDefault="000561AD" w:rsidP="000561A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789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20FB61FC" w14:textId="77777777" w:rsidR="000561AD" w:rsidRPr="00935DEE" w:rsidRDefault="000561AD" w:rsidP="00857CAE">
            <w:pPr>
              <w:widowControl w:val="0"/>
              <w:tabs>
                <w:tab w:val="left" w:pos="323"/>
              </w:tabs>
              <w:spacing w:before="60" w:after="6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7C4ECC80" w14:textId="2885183F" w:rsidR="001B0BDD" w:rsidRPr="001B0BDD" w:rsidRDefault="00FD626C" w:rsidP="00857CAE">
            <w:pPr>
              <w:widowControl w:val="0"/>
              <w:tabs>
                <w:tab w:val="left" w:pos="323"/>
              </w:tabs>
              <w:spacing w:after="40"/>
              <w:ind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La mise en œuvre de la préparation à la poursuite d’études</w:t>
            </w:r>
            <w:r w:rsidR="007933E5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)</w:t>
            </w:r>
          </w:p>
          <w:p w14:paraId="216CD5EC" w14:textId="77777777" w:rsidR="00FD626C" w:rsidRDefault="00FD626C" w:rsidP="00857CAE">
            <w:pPr>
              <w:widowControl w:val="0"/>
              <w:numPr>
                <w:ilvl w:val="0"/>
                <w:numId w:val="3"/>
              </w:numPr>
              <w:tabs>
                <w:tab w:val="left" w:pos="941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 xml:space="preserve">Cette préparation est-elle réalisée lors de séances, notamment de soutien au parcours, qui se déroulent sur toute l’année scolaire ? </w:t>
            </w:r>
          </w:p>
          <w:p w14:paraId="23E6F3FC" w14:textId="77777777" w:rsidR="00FD626C" w:rsidRDefault="00FD626C" w:rsidP="00857CAE">
            <w:pPr>
              <w:widowControl w:val="0"/>
              <w:numPr>
                <w:ilvl w:val="0"/>
                <w:numId w:val="3"/>
              </w:numPr>
              <w:tabs>
                <w:tab w:val="left" w:pos="941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>Les profils et objectifs des divers BTS ou autres poursuites d’études sont-ils pris en compte ? Comment ?</w:t>
            </w:r>
          </w:p>
          <w:p w14:paraId="66A68CF2" w14:textId="77777777" w:rsidR="00FD626C" w:rsidRDefault="00FD626C" w:rsidP="00857CAE">
            <w:pPr>
              <w:widowControl w:val="0"/>
              <w:numPr>
                <w:ilvl w:val="0"/>
                <w:numId w:val="3"/>
              </w:numPr>
              <w:tabs>
                <w:tab w:val="left" w:pos="941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>Les élèves présents ont-ils tous choisi de suivre le parcours ou bien certains d’entre eux participent-ils au parcours faute de convention signée avec une entreprise ? Dans ce cas, quel accompagnement spécifique leur est proposé ?</w:t>
            </w:r>
          </w:p>
          <w:p w14:paraId="33EF3FC5" w14:textId="77777777" w:rsidR="00857CAE" w:rsidRDefault="00FD626C" w:rsidP="00857CAE">
            <w:pPr>
              <w:widowControl w:val="0"/>
              <w:numPr>
                <w:ilvl w:val="0"/>
                <w:numId w:val="3"/>
              </w:numPr>
              <w:tabs>
                <w:tab w:val="left" w:pos="941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FD626C">
              <w:rPr>
                <w:rFonts w:ascii="Arial" w:eastAsia="MS Mincho" w:hAnsi="Arial" w:cs="Arial"/>
                <w:sz w:val="18"/>
                <w:szCs w:val="18"/>
              </w:rPr>
              <w:t xml:space="preserve">Dans quelle mesure les activités et contenus proposés marquent-ils une rupture avec les cours dispensés dans l’année scolaire ? En quoi sont-ils différents, voire innovants ? En quoi peuvent-ils répondre aux besoins et aux aspirations des élèves ? La démarche de projet s’inscrit-elle dans les contenus proposés ? </w:t>
            </w:r>
          </w:p>
          <w:p w14:paraId="0F3D24D9" w14:textId="77777777" w:rsidR="00857CAE" w:rsidRDefault="00FD626C" w:rsidP="00857CAE">
            <w:pPr>
              <w:widowControl w:val="0"/>
              <w:numPr>
                <w:ilvl w:val="0"/>
                <w:numId w:val="3"/>
              </w:numPr>
              <w:tabs>
                <w:tab w:val="left" w:pos="941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857CAE">
              <w:rPr>
                <w:rFonts w:ascii="Arial" w:eastAsia="MS Mincho" w:hAnsi="Arial" w:cs="Arial"/>
                <w:sz w:val="18"/>
                <w:szCs w:val="18"/>
              </w:rPr>
              <w:t>Les disciplines et spécialités professionnelles interviennent-elles en équipe ? Quels sont les fonctionnements retenus ? Quelle articulation est privilégiée entre les disciplines, spécialités, intervenants extérieurs ?</w:t>
            </w:r>
          </w:p>
          <w:p w14:paraId="4A386461" w14:textId="77777777" w:rsidR="00857CAE" w:rsidRDefault="00FD626C" w:rsidP="00857CAE">
            <w:pPr>
              <w:widowControl w:val="0"/>
              <w:numPr>
                <w:ilvl w:val="0"/>
                <w:numId w:val="3"/>
              </w:numPr>
              <w:tabs>
                <w:tab w:val="left" w:pos="941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857CAE">
              <w:rPr>
                <w:rFonts w:ascii="Arial" w:eastAsia="MS Mincho" w:hAnsi="Arial" w:cs="Arial"/>
                <w:sz w:val="18"/>
                <w:szCs w:val="18"/>
              </w:rPr>
              <w:t>Comment les compétences psychosociales sont-elles développées ? Quelles sont les stratégies de valorisation de l’implication de l’élève ? Comment est organisée la collaboration avec les enseignants du post-bac ?</w:t>
            </w:r>
          </w:p>
          <w:p w14:paraId="26B13138" w14:textId="77777777" w:rsidR="00857CAE" w:rsidRDefault="00FD626C" w:rsidP="00857CAE">
            <w:pPr>
              <w:widowControl w:val="0"/>
              <w:numPr>
                <w:ilvl w:val="0"/>
                <w:numId w:val="3"/>
              </w:numPr>
              <w:tabs>
                <w:tab w:val="left" w:pos="941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857CAE">
              <w:rPr>
                <w:rFonts w:ascii="Arial" w:eastAsia="MS Mincho" w:hAnsi="Arial" w:cs="Arial"/>
                <w:sz w:val="18"/>
                <w:szCs w:val="18"/>
              </w:rPr>
              <w:t>Quels sont les liens avec le parcours de consolidation en BTS (la mesure 5.3 de la réforme) ?</w:t>
            </w:r>
          </w:p>
          <w:p w14:paraId="52FC11B4" w14:textId="77777777" w:rsidR="00857CAE" w:rsidRDefault="00FD626C" w:rsidP="00857CAE">
            <w:pPr>
              <w:widowControl w:val="0"/>
              <w:numPr>
                <w:ilvl w:val="0"/>
                <w:numId w:val="3"/>
              </w:numPr>
              <w:tabs>
                <w:tab w:val="left" w:pos="941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857CAE">
              <w:rPr>
                <w:rFonts w:ascii="Arial" w:eastAsia="MS Mincho" w:hAnsi="Arial" w:cs="Arial"/>
                <w:sz w:val="18"/>
                <w:szCs w:val="18"/>
              </w:rPr>
              <w:t xml:space="preserve">Comment est organisé le volet « travail personnel » de l’élève ? </w:t>
            </w:r>
          </w:p>
          <w:p w14:paraId="6DE37BF8" w14:textId="06570233" w:rsidR="000561AD" w:rsidRPr="00857CAE" w:rsidRDefault="00FD626C" w:rsidP="00857CAE">
            <w:pPr>
              <w:widowControl w:val="0"/>
              <w:numPr>
                <w:ilvl w:val="0"/>
                <w:numId w:val="3"/>
              </w:numPr>
              <w:tabs>
                <w:tab w:val="left" w:pos="941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857CAE">
              <w:rPr>
                <w:rFonts w:ascii="Arial" w:eastAsia="MS Mincho" w:hAnsi="Arial" w:cs="Arial"/>
                <w:sz w:val="18"/>
                <w:szCs w:val="18"/>
              </w:rPr>
              <w:t>Qui accompagne les élèves ? Quelles disciplines ?</w:t>
            </w:r>
          </w:p>
          <w:p w14:paraId="01CC7157" w14:textId="77777777" w:rsidR="00857CAE" w:rsidRPr="00857CAE" w:rsidRDefault="00857CAE" w:rsidP="00B43F95">
            <w:pPr>
              <w:widowControl w:val="0"/>
              <w:tabs>
                <w:tab w:val="left" w:pos="323"/>
              </w:tabs>
              <w:spacing w:before="60" w:after="40"/>
              <w:ind w:right="-108"/>
              <w:rPr>
                <w:rFonts w:ascii="Arial" w:eastAsia="MS Mincho" w:hAnsi="Arial" w:cs="Arial"/>
                <w:sz w:val="18"/>
                <w:szCs w:val="18"/>
              </w:rPr>
            </w:pPr>
            <w:r w:rsidRPr="00857CAE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Stratégies et moyens de communication </w:t>
            </w:r>
          </w:p>
          <w:p w14:paraId="6BD70980" w14:textId="77777777" w:rsidR="00857CAE" w:rsidRDefault="00FD626C" w:rsidP="00857CAE">
            <w:pPr>
              <w:widowControl w:val="0"/>
              <w:numPr>
                <w:ilvl w:val="0"/>
                <w:numId w:val="3"/>
              </w:numPr>
              <w:tabs>
                <w:tab w:val="left" w:pos="799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1B0BDD">
              <w:rPr>
                <w:rFonts w:ascii="Arial" w:eastAsia="MS Mincho" w:hAnsi="Arial" w:cs="Arial"/>
                <w:sz w:val="18"/>
                <w:szCs w:val="18"/>
              </w:rPr>
              <w:t>Quels sont les indicateurs supports de l’analyse réflexive menée par le binôme d’enseignants à l’issue de la séance afin de proposer une régulation (une remédiation) ?</w:t>
            </w:r>
          </w:p>
          <w:p w14:paraId="6552632F" w14:textId="77777777" w:rsidR="00857CAE" w:rsidRDefault="00857CAE" w:rsidP="00857CAE">
            <w:pPr>
              <w:widowControl w:val="0"/>
              <w:numPr>
                <w:ilvl w:val="0"/>
                <w:numId w:val="3"/>
              </w:numPr>
              <w:tabs>
                <w:tab w:val="left" w:pos="799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857CAE">
              <w:rPr>
                <w:rFonts w:ascii="Arial" w:eastAsia="MS Mincho" w:hAnsi="Arial" w:cs="Arial"/>
                <w:sz w:val="18"/>
                <w:szCs w:val="18"/>
              </w:rPr>
              <w:t xml:space="preserve">Comment est organisée la communication (étapes, supports, intervenants…) concernant la présentation du parcours personnalisé aux élèves en début d’année de terminale ? Les entreprises ont-elles reçu une communication ciblée concernant les enjeux et les objectifs de la PFMP dédiée à la préparation à l’insertion ? </w:t>
            </w:r>
          </w:p>
          <w:p w14:paraId="53BE6831" w14:textId="77777777" w:rsidR="00857CAE" w:rsidRDefault="00857CAE" w:rsidP="00857CAE">
            <w:pPr>
              <w:widowControl w:val="0"/>
              <w:numPr>
                <w:ilvl w:val="0"/>
                <w:numId w:val="3"/>
              </w:numPr>
              <w:tabs>
                <w:tab w:val="left" w:pos="799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857CAE">
              <w:rPr>
                <w:rFonts w:ascii="Arial" w:eastAsia="MS Mincho" w:hAnsi="Arial" w:cs="Arial"/>
                <w:sz w:val="18"/>
                <w:szCs w:val="18"/>
              </w:rPr>
              <w:t>Des intentions d’embauche ont-elles été exprimées ? Certaines ont-elles abouti ?</w:t>
            </w:r>
          </w:p>
          <w:p w14:paraId="4475F62F" w14:textId="77777777" w:rsidR="00857CAE" w:rsidRDefault="00857CAE" w:rsidP="00857CAE">
            <w:pPr>
              <w:widowControl w:val="0"/>
              <w:numPr>
                <w:ilvl w:val="0"/>
                <w:numId w:val="3"/>
              </w:numPr>
              <w:tabs>
                <w:tab w:val="left" w:pos="799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857CAE">
              <w:rPr>
                <w:rFonts w:ascii="Arial" w:eastAsia="MS Mincho" w:hAnsi="Arial" w:cs="Arial"/>
                <w:sz w:val="18"/>
                <w:szCs w:val="18"/>
              </w:rPr>
              <w:t>Dans quelle mesure la stratégie de communication de l’établissement et des équipes sur les bénéfices de la préparation à la poursuite d’études a-t-elle favorisé l’adhésion et la motivation des élèves ?</w:t>
            </w:r>
          </w:p>
          <w:p w14:paraId="6B40E9AB" w14:textId="05EBDC7A" w:rsidR="000561AD" w:rsidRPr="00857CAE" w:rsidRDefault="00857CAE" w:rsidP="00857CAE">
            <w:pPr>
              <w:widowControl w:val="0"/>
              <w:numPr>
                <w:ilvl w:val="0"/>
                <w:numId w:val="3"/>
              </w:numPr>
              <w:tabs>
                <w:tab w:val="left" w:pos="799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857CAE">
              <w:rPr>
                <w:rFonts w:ascii="Arial" w:eastAsia="MS Mincho" w:hAnsi="Arial" w:cs="Arial"/>
                <w:sz w:val="18"/>
                <w:szCs w:val="18"/>
              </w:rPr>
              <w:t>Les programmes de contenus ont-ils été présentés en amont aux élèves / aux parents ?</w:t>
            </w:r>
          </w:p>
          <w:p w14:paraId="13BEF8A0" w14:textId="77777777" w:rsidR="00B43F95" w:rsidRPr="00B43F95" w:rsidRDefault="00B43F95" w:rsidP="00B43F95">
            <w:pPr>
              <w:widowControl w:val="0"/>
              <w:tabs>
                <w:tab w:val="left" w:pos="799"/>
              </w:tabs>
              <w:spacing w:before="60" w:after="40"/>
              <w:ind w:right="-108"/>
              <w:rPr>
                <w:rFonts w:ascii="Arial" w:eastAsia="MS Mincho" w:hAnsi="Arial" w:cs="Arial"/>
                <w:sz w:val="18"/>
                <w:szCs w:val="18"/>
              </w:rPr>
            </w:pPr>
            <w:r w:rsidRPr="00B43F95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Évaluation du parcours personnalisé proposé par l’établissement</w:t>
            </w:r>
          </w:p>
          <w:p w14:paraId="74953342" w14:textId="77777777" w:rsidR="00B43F95" w:rsidRDefault="00B43F95" w:rsidP="00B43F95">
            <w:pPr>
              <w:widowControl w:val="0"/>
              <w:numPr>
                <w:ilvl w:val="0"/>
                <w:numId w:val="3"/>
              </w:numPr>
              <w:tabs>
                <w:tab w:val="left" w:pos="799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43F95">
              <w:rPr>
                <w:rFonts w:ascii="Arial" w:eastAsia="MS Mincho" w:hAnsi="Arial" w:cs="Arial"/>
                <w:sz w:val="18"/>
                <w:szCs w:val="18"/>
              </w:rPr>
              <w:t xml:space="preserve">Quelle méthode d’évaluation a-t-elle été prévue ? Le retour d’expérience des élèves a-t-il été envisagé ? Si oui, comment ? Quels sont les éventuels besoins de formation des enseignants ? </w:t>
            </w:r>
          </w:p>
          <w:p w14:paraId="233BBD8C" w14:textId="225366A3" w:rsidR="00B43F95" w:rsidRPr="00B43F95" w:rsidRDefault="00B43F95" w:rsidP="00B43F95">
            <w:pPr>
              <w:widowControl w:val="0"/>
              <w:numPr>
                <w:ilvl w:val="0"/>
                <w:numId w:val="3"/>
              </w:numPr>
              <w:tabs>
                <w:tab w:val="left" w:pos="799"/>
              </w:tabs>
              <w:spacing w:after="20"/>
              <w:ind w:left="232" w:right="-108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B43F95">
              <w:rPr>
                <w:rFonts w:ascii="Arial" w:eastAsia="MS Mincho" w:hAnsi="Arial" w:cs="Arial"/>
                <w:sz w:val="18"/>
                <w:szCs w:val="18"/>
              </w:rPr>
              <w:t>Quelles sont les évolutions envisagées pour l’année suivante ?</w:t>
            </w:r>
          </w:p>
          <w:p w14:paraId="01E2D01D" w14:textId="77777777" w:rsidR="000561AD" w:rsidRDefault="000561AD" w:rsidP="00B43F95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907959C" w14:textId="77777777" w:rsidR="00FD626C" w:rsidRPr="00FD626C" w:rsidRDefault="00FD626C" w:rsidP="00FD626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D48C268" w14:textId="77777777" w:rsidR="00FD626C" w:rsidRPr="00FD626C" w:rsidRDefault="00FD626C" w:rsidP="00FD626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41D9F896" w14:textId="77777777" w:rsidR="00FD626C" w:rsidRPr="00FD626C" w:rsidRDefault="00FD626C" w:rsidP="00FD626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E943FB0" w14:textId="77777777" w:rsidR="00FD626C" w:rsidRPr="00FD626C" w:rsidRDefault="00FD626C" w:rsidP="00FD626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0095124C" w14:textId="77777777" w:rsidR="00FD626C" w:rsidRPr="00FD626C" w:rsidRDefault="00FD626C" w:rsidP="00FD626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771C9FD6" w14:textId="77777777" w:rsidR="00FD626C" w:rsidRDefault="00FD626C" w:rsidP="00FD626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4513E0E" w14:textId="77777777" w:rsidR="00FD626C" w:rsidRPr="00FD626C" w:rsidRDefault="00FD626C" w:rsidP="00FD626C">
            <w:pPr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2BC67F85" w14:textId="77777777" w:rsidR="000561AD" w:rsidRPr="00935DEE" w:rsidRDefault="000561AD" w:rsidP="000561A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797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D93BBAA" w14:textId="77777777" w:rsidR="00857CAE" w:rsidRPr="00C423F7" w:rsidRDefault="00857CAE" w:rsidP="00857CAE">
            <w:pPr>
              <w:spacing w:before="60" w:after="60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>Exemples</w:t>
            </w:r>
            <w:r>
              <w:rPr>
                <w:rFonts w:ascii="Arial" w:hAnsi="Arial" w:cs="Arial"/>
                <w:b/>
                <w:color w:val="EE7444"/>
              </w:rPr>
              <w:t xml:space="preserve"> </w:t>
            </w:r>
            <w:r w:rsidRPr="00401CCB">
              <w:rPr>
                <w:rFonts w:ascii="Arial" w:hAnsi="Arial" w:cs="Arial"/>
                <w:b/>
                <w:color w:val="EE7444"/>
              </w:rPr>
              <w:t>d’</w:t>
            </w:r>
            <w:r>
              <w:rPr>
                <w:rFonts w:ascii="Arial" w:hAnsi="Arial" w:cs="Arial"/>
                <w:b/>
                <w:color w:val="EE7444"/>
              </w:rPr>
              <w:t>outils et d’</w:t>
            </w:r>
            <w:r w:rsidRPr="00401CCB">
              <w:rPr>
                <w:rFonts w:ascii="Arial" w:hAnsi="Arial" w:cs="Arial"/>
                <w:b/>
                <w:color w:val="EE7444"/>
              </w:rPr>
              <w:t>indicateurs de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67933914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 d’élèves volontaires pour suivre respectivement chacune des deux préparations</w:t>
            </w:r>
          </w:p>
          <w:p w14:paraId="1601A9AE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Écart recommandation conseil de classe et choix de l’élève</w:t>
            </w:r>
          </w:p>
          <w:p w14:paraId="58D743E3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Écart vœux fiches dialogue et inscrits effectifs</w:t>
            </w:r>
          </w:p>
          <w:p w14:paraId="555446D6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 d’élèves inscrits et présents pour chaque préparation</w:t>
            </w:r>
          </w:p>
          <w:p w14:paraId="1D2E64BF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 d’élèves ayant suivi assidument la préparation à la poursuite d’études</w:t>
            </w:r>
          </w:p>
          <w:p w14:paraId="17DBC789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 d’élèves ayant effectué l’ensemble de la préparation insertion pro</w:t>
            </w:r>
          </w:p>
          <w:p w14:paraId="65828592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Nombres de conventions signées</w:t>
            </w:r>
          </w:p>
          <w:p w14:paraId="5B4B11B9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Participation des parents à la fiche dialogue, à divers échanges…</w:t>
            </w:r>
          </w:p>
          <w:p w14:paraId="69F3BE52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 xml:space="preserve">Nombre d’élèves ayant formulé un ou plusieurs vœux Parcoursup </w:t>
            </w:r>
          </w:p>
          <w:p w14:paraId="46D94101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Écart entre</w:t>
            </w:r>
            <w:r>
              <w:rPr>
                <w:rFonts w:ascii="Arial" w:hAnsi="Arial" w:cs="Arial"/>
                <w:sz w:val="18"/>
                <w:szCs w:val="18"/>
              </w:rPr>
              <w:t xml:space="preserve"> les</w:t>
            </w:r>
            <w:r w:rsidRPr="004B1582">
              <w:rPr>
                <w:rFonts w:ascii="Arial" w:hAnsi="Arial" w:cs="Arial"/>
                <w:sz w:val="18"/>
                <w:szCs w:val="18"/>
              </w:rPr>
              <w:t xml:space="preserve"> inscriptions Parcoursup et </w:t>
            </w:r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r w:rsidRPr="004B1582">
              <w:rPr>
                <w:rFonts w:ascii="Arial" w:hAnsi="Arial" w:cs="Arial"/>
                <w:sz w:val="18"/>
                <w:szCs w:val="18"/>
              </w:rPr>
              <w:t>inscriptions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au</w:t>
            </w:r>
            <w:r w:rsidRPr="004B1582">
              <w:rPr>
                <w:rFonts w:ascii="Arial" w:hAnsi="Arial" w:cs="Arial"/>
                <w:sz w:val="18"/>
                <w:szCs w:val="18"/>
              </w:rPr>
              <w:t xml:space="preserve"> parcours de préparation poursuite d’études</w:t>
            </w:r>
          </w:p>
          <w:p w14:paraId="179FAED0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Nombre d’élèves ayant choisi des études par apprentissage et répartition dans chacun des deux parcours</w:t>
            </w:r>
          </w:p>
          <w:p w14:paraId="6402272B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Plan d’organisation de l’année : calendrier des CCF</w:t>
            </w:r>
          </w:p>
          <w:p w14:paraId="41A59302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 xml:space="preserve">Différentes étapes de l’accompagnement à l’orientation </w:t>
            </w:r>
          </w:p>
          <w:p w14:paraId="08058D45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Organisation des heures de soutien</w:t>
            </w:r>
          </w:p>
          <w:p w14:paraId="580945DD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Grille(s) horaire(s) retenue(s)</w:t>
            </w:r>
          </w:p>
          <w:p w14:paraId="76CA1928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Planning hebdomadaire du travail personnel</w:t>
            </w:r>
          </w:p>
          <w:p w14:paraId="4234069F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Plan de communication, stratégie, outils…</w:t>
            </w:r>
          </w:p>
          <w:p w14:paraId="60EEDB99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Documents de présentation des contenus</w:t>
            </w:r>
          </w:p>
          <w:p w14:paraId="466B749E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Types de canaux de communication mobilisés</w:t>
            </w:r>
          </w:p>
          <w:p w14:paraId="2365AACA" w14:textId="77777777" w:rsidR="00857CAE" w:rsidRPr="004B1582" w:rsidRDefault="00857CAE" w:rsidP="00857CAE">
            <w:pPr>
              <w:widowControl w:val="0"/>
              <w:tabs>
                <w:tab w:val="left" w:pos="323"/>
              </w:tabs>
              <w:rPr>
                <w:rFonts w:ascii="Arial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>Enquêtes élèves, bilans des enseignants</w:t>
            </w:r>
          </w:p>
          <w:p w14:paraId="25CC655F" w14:textId="0E55D59C" w:rsidR="000561AD" w:rsidRPr="00935DEE" w:rsidRDefault="00857CAE" w:rsidP="00857CAE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sz w:val="18"/>
                <w:szCs w:val="18"/>
              </w:rPr>
            </w:pPr>
            <w:r w:rsidRPr="004B1582">
              <w:rPr>
                <w:rFonts w:ascii="Arial" w:hAnsi="Arial" w:cs="Arial"/>
                <w:sz w:val="18"/>
                <w:szCs w:val="18"/>
              </w:rPr>
              <w:t xml:space="preserve">Suivi de la cohorte année N+1 </w:t>
            </w:r>
          </w:p>
        </w:tc>
      </w:tr>
    </w:tbl>
    <w:p w14:paraId="1141290E" w14:textId="77777777" w:rsidR="00935DEE" w:rsidRDefault="00935DEE" w:rsidP="00935DEE"/>
    <w:p w14:paraId="5EDCE2A2" w14:textId="77777777" w:rsidR="00464B19" w:rsidRPr="00464B19" w:rsidRDefault="00464B19" w:rsidP="00464B19"/>
    <w:p w14:paraId="51D33BC2" w14:textId="77777777" w:rsidR="00464B19" w:rsidRPr="00464B19" w:rsidRDefault="00464B19" w:rsidP="00464B19">
      <w:pPr>
        <w:sectPr w:rsidR="00464B19" w:rsidRPr="00464B19" w:rsidSect="00857CAE">
          <w:footerReference w:type="default" r:id="rId13"/>
          <w:pgSz w:w="16838" w:h="11906" w:orient="landscape"/>
          <w:pgMar w:top="284" w:right="1387" w:bottom="1" w:left="1134" w:header="142" w:footer="199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proofErr w:type="spellStart"/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7355A9E2">
              <wp:simplePos x="0" y="0"/>
              <wp:positionH relativeFrom="column">
                <wp:posOffset>1151240</wp:posOffset>
              </wp:positionH>
              <wp:positionV relativeFrom="paragraph">
                <wp:posOffset>-25991</wp:posOffset>
              </wp:positionV>
              <wp:extent cx="2231136" cy="698810"/>
              <wp:effectExtent l="0" t="0" r="0" b="635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136" cy="6988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82134" w14:textId="0B28F165" w:rsidR="001B37E2" w:rsidRPr="001B37E2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Contributeur :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a</w:t>
                          </w:r>
                          <w:r w:rsidR="00CC3322" w:rsidRP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cadémie </w:t>
                          </w:r>
                          <w:r w:rsidR="00B43F95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d’Aix-Marseille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. B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 A2-2 – Bureau des lycées professionnels, de l’apprentissage et de la formation professionnelle continue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90.65pt;margin-top:-2.05pt;width:175.7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" fillcolor="white [3201]" stroked="f" strokeweight=".5pt">
              <v:textbox>
                <w:txbxContent>
                  <w:p w14:paraId="2F782134" w14:textId="0B28F165" w:rsidR="001B37E2" w:rsidRPr="001B37E2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Contributeur :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a</w:t>
                    </w:r>
                    <w:r w:rsidR="00CC3322" w:rsidRP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cadémie </w:t>
                    </w:r>
                    <w:r w:rsidR="00B43F95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d’Aix-Marseille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. B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A2-2 – Bureau des lycées professionnels, de l’apprentissage et de la formation professionnelle continue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03892335" w:rsidR="001407FA" w:rsidRPr="00436D64" w:rsidRDefault="00935DEE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  <w:r w:rsidR="00DB56D0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.</w:t>
                          </w:r>
                          <w:r w:rsidR="00B43F95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03892335" w:rsidR="001407FA" w:rsidRPr="00436D64" w:rsidRDefault="00935DEE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  <w:r w:rsidR="00DB56D0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.</w:t>
                    </w:r>
                    <w:r w:rsidR="00B43F95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746"/>
    <w:multiLevelType w:val="hybridMultilevel"/>
    <w:tmpl w:val="505A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76360"/>
    <w:multiLevelType w:val="hybridMultilevel"/>
    <w:tmpl w:val="613CC5B4"/>
    <w:lvl w:ilvl="0" w:tplc="04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1C581521"/>
    <w:multiLevelType w:val="hybridMultilevel"/>
    <w:tmpl w:val="B426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C4635"/>
    <w:multiLevelType w:val="hybridMultilevel"/>
    <w:tmpl w:val="4B86CE48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82A09"/>
    <w:multiLevelType w:val="hybridMultilevel"/>
    <w:tmpl w:val="95509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813C1"/>
    <w:multiLevelType w:val="hybridMultilevel"/>
    <w:tmpl w:val="F8B4C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866BF"/>
    <w:multiLevelType w:val="hybridMultilevel"/>
    <w:tmpl w:val="F8E87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1080F"/>
    <w:multiLevelType w:val="hybridMultilevel"/>
    <w:tmpl w:val="AB88EB10"/>
    <w:lvl w:ilvl="0" w:tplc="278CA8C4">
      <w:numFmt w:val="bullet"/>
      <w:lvlText w:val="-"/>
      <w:lvlJc w:val="left"/>
      <w:pPr>
        <w:ind w:left="115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11"/>
  </w:num>
  <w:num w:numId="2" w16cid:durableId="1496527722">
    <w:abstractNumId w:val="0"/>
  </w:num>
  <w:num w:numId="3" w16cid:durableId="1942570898">
    <w:abstractNumId w:val="9"/>
  </w:num>
  <w:num w:numId="4" w16cid:durableId="8222907">
    <w:abstractNumId w:val="18"/>
  </w:num>
  <w:num w:numId="5" w16cid:durableId="2008701794">
    <w:abstractNumId w:val="10"/>
  </w:num>
  <w:num w:numId="6" w16cid:durableId="514928024">
    <w:abstractNumId w:val="7"/>
  </w:num>
  <w:num w:numId="7" w16cid:durableId="369577301">
    <w:abstractNumId w:val="19"/>
  </w:num>
  <w:num w:numId="8" w16cid:durableId="1352150428">
    <w:abstractNumId w:val="17"/>
  </w:num>
  <w:num w:numId="9" w16cid:durableId="610284317">
    <w:abstractNumId w:val="6"/>
  </w:num>
  <w:num w:numId="10" w16cid:durableId="971638984">
    <w:abstractNumId w:val="1"/>
  </w:num>
  <w:num w:numId="11" w16cid:durableId="526454694">
    <w:abstractNumId w:val="2"/>
  </w:num>
  <w:num w:numId="12" w16cid:durableId="944579204">
    <w:abstractNumId w:val="16"/>
  </w:num>
  <w:num w:numId="13" w16cid:durableId="1464075894">
    <w:abstractNumId w:val="3"/>
  </w:num>
  <w:num w:numId="14" w16cid:durableId="2134472529">
    <w:abstractNumId w:val="8"/>
  </w:num>
  <w:num w:numId="15" w16cid:durableId="2110660618">
    <w:abstractNumId w:val="13"/>
  </w:num>
  <w:num w:numId="16" w16cid:durableId="977804691">
    <w:abstractNumId w:val="15"/>
  </w:num>
  <w:num w:numId="17" w16cid:durableId="1390962398">
    <w:abstractNumId w:val="5"/>
  </w:num>
  <w:num w:numId="18" w16cid:durableId="1607083317">
    <w:abstractNumId w:val="14"/>
  </w:num>
  <w:num w:numId="19" w16cid:durableId="1959485445">
    <w:abstractNumId w:val="4"/>
  </w:num>
  <w:num w:numId="20" w16cid:durableId="2339753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206A8"/>
    <w:rsid w:val="000561AD"/>
    <w:rsid w:val="000818C2"/>
    <w:rsid w:val="000850E8"/>
    <w:rsid w:val="000A1EDB"/>
    <w:rsid w:val="000A5A91"/>
    <w:rsid w:val="000A6FED"/>
    <w:rsid w:val="000C032B"/>
    <w:rsid w:val="000D1AEE"/>
    <w:rsid w:val="000E4C75"/>
    <w:rsid w:val="000F4D07"/>
    <w:rsid w:val="00125381"/>
    <w:rsid w:val="00125BF0"/>
    <w:rsid w:val="0012632A"/>
    <w:rsid w:val="00127EA9"/>
    <w:rsid w:val="0013428E"/>
    <w:rsid w:val="001407FA"/>
    <w:rsid w:val="00142F5B"/>
    <w:rsid w:val="00167567"/>
    <w:rsid w:val="001777F0"/>
    <w:rsid w:val="001A4A6A"/>
    <w:rsid w:val="001B0BDD"/>
    <w:rsid w:val="001B37E2"/>
    <w:rsid w:val="001E1709"/>
    <w:rsid w:val="002109E6"/>
    <w:rsid w:val="00224C3B"/>
    <w:rsid w:val="00234A53"/>
    <w:rsid w:val="00246FD9"/>
    <w:rsid w:val="002515C9"/>
    <w:rsid w:val="002838D7"/>
    <w:rsid w:val="00286C64"/>
    <w:rsid w:val="00287D65"/>
    <w:rsid w:val="002A5DE8"/>
    <w:rsid w:val="002B1FB6"/>
    <w:rsid w:val="00300716"/>
    <w:rsid w:val="00300E11"/>
    <w:rsid w:val="00335EA1"/>
    <w:rsid w:val="003426AD"/>
    <w:rsid w:val="0038331F"/>
    <w:rsid w:val="003B2904"/>
    <w:rsid w:val="003F19AB"/>
    <w:rsid w:val="00401CCB"/>
    <w:rsid w:val="00406D08"/>
    <w:rsid w:val="00436D64"/>
    <w:rsid w:val="00464261"/>
    <w:rsid w:val="00464B19"/>
    <w:rsid w:val="0048139E"/>
    <w:rsid w:val="00484223"/>
    <w:rsid w:val="004B62D6"/>
    <w:rsid w:val="004B73D9"/>
    <w:rsid w:val="004B749A"/>
    <w:rsid w:val="004C2671"/>
    <w:rsid w:val="004C5166"/>
    <w:rsid w:val="004D6944"/>
    <w:rsid w:val="00525365"/>
    <w:rsid w:val="0055112B"/>
    <w:rsid w:val="00580271"/>
    <w:rsid w:val="005E7E0C"/>
    <w:rsid w:val="005F677E"/>
    <w:rsid w:val="00640C67"/>
    <w:rsid w:val="00652C30"/>
    <w:rsid w:val="0065494F"/>
    <w:rsid w:val="00660471"/>
    <w:rsid w:val="00662A18"/>
    <w:rsid w:val="00670AE4"/>
    <w:rsid w:val="00693520"/>
    <w:rsid w:val="006A784C"/>
    <w:rsid w:val="006B3050"/>
    <w:rsid w:val="006C2652"/>
    <w:rsid w:val="006C3AA4"/>
    <w:rsid w:val="0074412C"/>
    <w:rsid w:val="007933E5"/>
    <w:rsid w:val="007B5ED0"/>
    <w:rsid w:val="00816F70"/>
    <w:rsid w:val="00817537"/>
    <w:rsid w:val="00830716"/>
    <w:rsid w:val="00857CAE"/>
    <w:rsid w:val="00863C62"/>
    <w:rsid w:val="008702A8"/>
    <w:rsid w:val="00871D88"/>
    <w:rsid w:val="0087536D"/>
    <w:rsid w:val="008C62CE"/>
    <w:rsid w:val="008F3D0F"/>
    <w:rsid w:val="008F4D8F"/>
    <w:rsid w:val="00902070"/>
    <w:rsid w:val="00905628"/>
    <w:rsid w:val="00924315"/>
    <w:rsid w:val="009353BF"/>
    <w:rsid w:val="00935DEE"/>
    <w:rsid w:val="00970F64"/>
    <w:rsid w:val="009E77A4"/>
    <w:rsid w:val="009F1970"/>
    <w:rsid w:val="00A229F4"/>
    <w:rsid w:val="00A9517C"/>
    <w:rsid w:val="00A97672"/>
    <w:rsid w:val="00AA0CB0"/>
    <w:rsid w:val="00AC18EB"/>
    <w:rsid w:val="00AC414F"/>
    <w:rsid w:val="00AF148C"/>
    <w:rsid w:val="00B04563"/>
    <w:rsid w:val="00B0469A"/>
    <w:rsid w:val="00B24E14"/>
    <w:rsid w:val="00B37D7D"/>
    <w:rsid w:val="00B43F95"/>
    <w:rsid w:val="00B44C13"/>
    <w:rsid w:val="00B4659B"/>
    <w:rsid w:val="00B471F2"/>
    <w:rsid w:val="00B65C50"/>
    <w:rsid w:val="00B74B1B"/>
    <w:rsid w:val="00B850CF"/>
    <w:rsid w:val="00B87B70"/>
    <w:rsid w:val="00BC2A6A"/>
    <w:rsid w:val="00BD0C56"/>
    <w:rsid w:val="00BE65D0"/>
    <w:rsid w:val="00BF08A3"/>
    <w:rsid w:val="00BF1B79"/>
    <w:rsid w:val="00C423F7"/>
    <w:rsid w:val="00C73334"/>
    <w:rsid w:val="00CC3322"/>
    <w:rsid w:val="00CC73DE"/>
    <w:rsid w:val="00CC79D9"/>
    <w:rsid w:val="00CF60FD"/>
    <w:rsid w:val="00D00107"/>
    <w:rsid w:val="00D02345"/>
    <w:rsid w:val="00D04DB2"/>
    <w:rsid w:val="00D403B1"/>
    <w:rsid w:val="00D4569F"/>
    <w:rsid w:val="00D468E4"/>
    <w:rsid w:val="00D7761A"/>
    <w:rsid w:val="00DA1BB7"/>
    <w:rsid w:val="00DB56D0"/>
    <w:rsid w:val="00DB6935"/>
    <w:rsid w:val="00DC32FF"/>
    <w:rsid w:val="00DF27F3"/>
    <w:rsid w:val="00E033AF"/>
    <w:rsid w:val="00E368D5"/>
    <w:rsid w:val="00E67071"/>
    <w:rsid w:val="00E92E4C"/>
    <w:rsid w:val="00F025EA"/>
    <w:rsid w:val="00F079D0"/>
    <w:rsid w:val="00F107B8"/>
    <w:rsid w:val="00F47898"/>
    <w:rsid w:val="00F5376E"/>
    <w:rsid w:val="00F70AC2"/>
    <w:rsid w:val="00FB0D15"/>
    <w:rsid w:val="00FB5AEE"/>
    <w:rsid w:val="00FC266A"/>
    <w:rsid w:val="00FD626C"/>
    <w:rsid w:val="00FE19B6"/>
    <w:rsid w:val="00FF0A74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F9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46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37833273&amp;categorieLien=i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uv.fr/bo/2025/Hebdo48/MENE2535318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Texte.do?cidTexte=JORFTEXT000037833273&amp;categorieLien=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education.gouv.fr/bo/2025/Hebdo48/MENE2535318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1589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IUNA GUIDUCCI</cp:lastModifiedBy>
  <cp:revision>2</cp:revision>
  <cp:lastPrinted>2026-03-20T15:03:00Z</cp:lastPrinted>
  <dcterms:created xsi:type="dcterms:W3CDTF">2026-03-24T22:28:00Z</dcterms:created>
  <dcterms:modified xsi:type="dcterms:W3CDTF">2026-03-24T22:28:00Z</dcterms:modified>
</cp:coreProperties>
</file>