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332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9639"/>
        <w:gridCol w:w="236"/>
        <w:gridCol w:w="49"/>
        <w:gridCol w:w="2691"/>
        <w:gridCol w:w="314"/>
      </w:tblGrid>
      <w:tr w:rsidR="00AC414F" w:rsidRPr="00401CCB" w14:paraId="75457DC7" w14:textId="77777777" w:rsidTr="005F677E">
        <w:trPr>
          <w:trHeight w:hRule="exact" w:val="1814"/>
        </w:trPr>
        <w:tc>
          <w:tcPr>
            <w:tcW w:w="13042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3727DE0D" w:rsidR="00E92E4C" w:rsidRPr="006D1CF6" w:rsidRDefault="00E92E4C" w:rsidP="008F3D0F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9353BF">
              <w:rPr>
                <w:rFonts w:ascii="Arial" w:hAnsi="Arial" w:cs="Arial"/>
                <w:sz w:val="30"/>
                <w:szCs w:val="30"/>
                <w:lang w:val="fr-FR"/>
              </w:rPr>
              <w:t>7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9353BF" w:rsidRPr="009353BF">
              <w:rPr>
                <w:rFonts w:ascii="Arial" w:hAnsi="Arial" w:cs="Arial"/>
                <w:sz w:val="30"/>
                <w:szCs w:val="30"/>
                <w:lang w:val="fr-FR"/>
              </w:rPr>
              <w:t xml:space="preserve">Organiser et exploiter les périodes de formation en milieu professionnel (PFMP) et les stages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04B94E1A" w:rsidR="00127EA9" w:rsidRPr="00127EA9" w:rsidRDefault="009353BF" w:rsidP="008F3D0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B244C">
              <w:rPr>
                <w:rFonts w:ascii="Arial" w:hAnsi="Arial" w:cs="Arial"/>
                <w:sz w:val="14"/>
                <w:szCs w:val="14"/>
              </w:rPr>
              <w:t>Code de l’éducation</w:t>
            </w:r>
            <w:r w:rsidRPr="002B244C">
              <w:rPr>
                <w:rFonts w:ascii="Arial" w:hAnsi="Arial" w:cs="Arial"/>
                <w:b/>
                <w:sz w:val="14"/>
                <w:szCs w:val="14"/>
              </w:rPr>
              <w:t xml:space="preserve"> : articles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8" w:anchor="LEGISCTA000029233447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L124-1 à L124-20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, </w:t>
            </w:r>
            <w:hyperlink r:id="rId9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 D124-1 à R124-13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10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L332-3-1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. Code du travail : articles </w:t>
            </w:r>
            <w:hyperlink r:id="rId11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R4153-38 à R4153-45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. Décret 2019-907 du 30-8-2019, arrêté du 30-8-2019 (création d’une unité facultative de mobilité et de l’attestation </w:t>
            </w:r>
            <w:proofErr w:type="spellStart"/>
            <w:r w:rsidRPr="002B244C">
              <w:rPr>
                <w:rFonts w:ascii="Arial" w:hAnsi="Arial" w:cs="Arial"/>
                <w:sz w:val="14"/>
                <w:szCs w:val="14"/>
              </w:rPr>
              <w:t>MobilitéPro</w:t>
            </w:r>
            <w:proofErr w:type="spellEnd"/>
            <w:r w:rsidRPr="002B244C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2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baccalauréat professionnel   </w:t>
            </w:r>
            <w:hyperlink r:id="rId13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certificat d’aptitude professionnelle. Circulaires </w:t>
            </w:r>
            <w:hyperlink r:id="rId14" w:history="1">
              <w:r w:rsidRPr="002B24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n° 2016-053 du 29-3-2016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(organisation et accompagnement des périodes de formation en milieu professionnel), </w:t>
            </w:r>
            <w:hyperlink r:id="rId15" w:history="1">
              <w:r w:rsidRPr="002B24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n° 2016-055 du 29-3-2016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(réussir l’entrée au lycée professionnel).  </w:t>
            </w:r>
            <w:hyperlink r:id="rId16" w:history="1">
              <w:r w:rsidRPr="002B24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Circulaire du 24 mai 2023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> (bureau des entreprises)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C18EB" w:rsidRPr="002B244C">
              <w:rPr>
                <w:rFonts w:ascii="Arial" w:hAnsi="Arial" w:cs="Arial"/>
                <w:sz w:val="14"/>
                <w:szCs w:val="14"/>
              </w:rPr>
              <w:t xml:space="preserve">Note de service </w:t>
            </w:r>
            <w:hyperlink r:id="rId17" w:history="1">
              <w:r w:rsidR="00AC18EB"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="00AC18EB"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C18EB"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professionnel).</w:t>
            </w:r>
            <w:hyperlink r:id="rId18" w:tgtFrame="_blank" w:history="1">
              <w:r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  <w:r>
                <w:rPr>
                  <w:rFonts w:ascii="Arial" w:eastAsia="Yu Gothic" w:hAnsi="Arial" w:cs="Arial"/>
                  <w:color w:val="0000FF"/>
                  <w:sz w:val="14"/>
                  <w:szCs w:val="14"/>
                  <w:u w:val="single"/>
                </w:rPr>
                <w:t>Décret n° 2023-765 du 11 août 2023</w:t>
              </w:r>
            </w:hyperlink>
            <w:r w:rsidRPr="002B244C">
              <w:rPr>
                <w:rFonts w:ascii="Arial" w:eastAsia="Yu Gothic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Yu Gothic" w:hAnsi="Arial" w:cs="Arial"/>
                <w:sz w:val="14"/>
                <w:szCs w:val="14"/>
              </w:rPr>
              <w:t xml:space="preserve">et </w:t>
            </w:r>
            <w:hyperlink r:id="rId19" w:tgtFrame="_blank" w:history="1">
              <w:r w:rsidRPr="009E7BC8">
                <w:rPr>
                  <w:rStyle w:val="Lienhypertexte"/>
                  <w:rFonts w:ascii="Arial" w:eastAsia="Yu Gothic" w:hAnsi="Arial" w:cs="Arial"/>
                  <w:sz w:val="14"/>
                  <w:szCs w:val="14"/>
                </w:rPr>
                <w:t>arrêté du 11 août 2023</w:t>
              </w:r>
            </w:hyperlink>
            <w:r>
              <w:rPr>
                <w:rFonts w:ascii="Arial" w:eastAsia="Yu Gothic" w:hAnsi="Arial" w:cs="Arial"/>
                <w:sz w:val="14"/>
                <w:szCs w:val="14"/>
              </w:rPr>
              <w:t xml:space="preserve"> </w:t>
            </w:r>
            <w:r w:rsidRPr="009E7BC8">
              <w:rPr>
                <w:rFonts w:ascii="Arial" w:eastAsia="Yu Gothic" w:hAnsi="Arial" w:cs="Arial"/>
                <w:sz w:val="14"/>
                <w:szCs w:val="14"/>
              </w:rPr>
              <w:t>(allocation PFMP)</w:t>
            </w:r>
            <w:r>
              <w:rPr>
                <w:rFonts w:ascii="Arial" w:eastAsia="Yu Gothic" w:hAnsi="Arial" w:cs="Arial"/>
                <w:sz w:val="14"/>
                <w:szCs w:val="14"/>
              </w:rPr>
              <w:t xml:space="preserve">. </w:t>
            </w:r>
            <w:r w:rsidR="00970F64">
              <w:rPr>
                <w:rFonts w:ascii="Arial" w:eastAsia="Yu Gothic" w:hAnsi="Arial" w:cs="Arial"/>
                <w:sz w:val="14"/>
                <w:szCs w:val="14"/>
              </w:rPr>
              <w:t xml:space="preserve">Foire aux questions relatives à l’allocation de PFMP en ligne sur </w:t>
            </w:r>
            <w:proofErr w:type="spellStart"/>
            <w:r w:rsidR="00970F64">
              <w:rPr>
                <w:rFonts w:ascii="Arial" w:eastAsia="Yu Gothic" w:hAnsi="Arial" w:cs="Arial"/>
                <w:sz w:val="14"/>
                <w:szCs w:val="14"/>
              </w:rPr>
              <w:t>Eduscol</w:t>
            </w:r>
            <w:proofErr w:type="spellEnd"/>
          </w:p>
        </w:tc>
        <w:tc>
          <w:tcPr>
            <w:tcW w:w="285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406D08">
            <w:pPr>
              <w:ind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5F677E">
        <w:trPr>
          <w:gridAfter w:val="1"/>
          <w:wAfter w:w="314" w:type="dxa"/>
          <w:trHeight w:val="57"/>
        </w:trPr>
        <w:tc>
          <w:tcPr>
            <w:tcW w:w="3119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401CCB" w14:paraId="07196ED3" w14:textId="77777777" w:rsidTr="005F677E">
        <w:trPr>
          <w:gridAfter w:val="1"/>
          <w:wAfter w:w="314" w:type="dxa"/>
          <w:trHeight w:hRule="exact" w:val="573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3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0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5F677E">
        <w:trPr>
          <w:gridAfter w:val="1"/>
          <w:wAfter w:w="314" w:type="dxa"/>
          <w:trHeight w:hRule="exact" w:val="7370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E92E4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22664769" w14:textId="5A6DC47D" w:rsidR="00406D08" w:rsidRPr="00406D08" w:rsidRDefault="00406D08" w:rsidP="00406D08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 xml:space="preserve">Toutes les formations professionnelles comportent aujourd'hui un stage ou une période de formation en entreprise obligatoires. </w:t>
            </w:r>
            <w:r w:rsidR="00300716" w:rsidRPr="00300716">
              <w:rPr>
                <w:rFonts w:ascii="Arial" w:eastAsiaTheme="majorEastAsia" w:hAnsi="Arial" w:cs="Arial"/>
                <w:sz w:val="18"/>
                <w:szCs w:val="18"/>
              </w:rPr>
              <w:t xml:space="preserve">Pour les lycéens qui préparent un diplôme professionnel de niveau secondaire, </w:t>
            </w:r>
            <w:r w:rsidR="00300716">
              <w:rPr>
                <w:rFonts w:ascii="Arial" w:eastAsiaTheme="majorEastAsia" w:hAnsi="Arial" w:cs="Arial"/>
                <w:sz w:val="18"/>
                <w:szCs w:val="18"/>
              </w:rPr>
              <w:t>l</w:t>
            </w: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es PFMP donnent lieu à une allocation.</w:t>
            </w:r>
          </w:p>
          <w:p w14:paraId="48CE5BF7" w14:textId="77777777" w:rsidR="00406D08" w:rsidRPr="00406D08" w:rsidRDefault="00406D08" w:rsidP="00406D08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les périodes de formation en milieu professionnel s’insèrent-elles dans la stratégie de l’établissement ? Quels sont les axes stratégiques développés ? Quels sont les objectifs définis ?</w:t>
            </w:r>
          </w:p>
          <w:p w14:paraId="2FAADDE3" w14:textId="77777777" w:rsidR="00406D08" w:rsidRPr="00406D08" w:rsidRDefault="00406D08" w:rsidP="00406D08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la réflexion autour des PFMP se construit-elle dans le cadre de la relation école-entreprises ?</w:t>
            </w:r>
          </w:p>
          <w:p w14:paraId="490F080F" w14:textId="77777777" w:rsidR="00406D08" w:rsidRPr="00406D08" w:rsidRDefault="00406D08" w:rsidP="00406D08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la planification et l’organisation des PFMP s’articulent-elles avec l’acquisition des compétences attendues pour une spécialité donnée ?</w:t>
            </w:r>
          </w:p>
          <w:p w14:paraId="60B502EF" w14:textId="77777777" w:rsidR="00406D08" w:rsidRPr="00406D08" w:rsidRDefault="00406D08" w:rsidP="00406D08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cette information est-elle communiquée aux différentes parties ? Quelle est l’information prévue pour les élèves et pour les familles ?</w:t>
            </w:r>
          </w:p>
          <w:p w14:paraId="5AB86FFF" w14:textId="77777777" w:rsidR="00660471" w:rsidRPr="00660471" w:rsidRDefault="00660471" w:rsidP="00A9517C">
            <w:pPr>
              <w:spacing w:afterLines="60" w:after="144"/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63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196B3D2B" w14:textId="77777777" w:rsidR="00406D08" w:rsidRPr="00406D08" w:rsidRDefault="00406D08" w:rsidP="00406D08">
            <w:pPr>
              <w:spacing w:before="120" w:after="6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Organiser</w:t>
            </w:r>
          </w:p>
          <w:p w14:paraId="42164794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Quelle est l’organisation prévue par l’établissement pour les PFMP des élèves (information, préparation, suivi, exploitation, évaluation) ? </w:t>
            </w:r>
          </w:p>
          <w:p w14:paraId="6BC4D201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Quelle est la place du bureau des entreprises (BDE) dans cette organisation ?</w:t>
            </w:r>
          </w:p>
          <w:p w14:paraId="78B95703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le calendrier des PFMP est-il défini ? Comment sa pertinence est-elle vérifiée ? Comment le calendrier s’articule-t-il avec les temps de formation en établissement et les objectifs de la formation, au regard des compétences attendues pour une spécialité et des épreuves ? </w:t>
            </w:r>
          </w:p>
          <w:p w14:paraId="794C0898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les situations de handicap sont-elles prises en compte ?</w:t>
            </w:r>
          </w:p>
          <w:p w14:paraId="74F2AED2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les conventions de stage sont-elles élaborées ?</w:t>
            </w:r>
          </w:p>
          <w:p w14:paraId="1D299505" w14:textId="2BA529E9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la procédure de versement de l’allocation PFMP financée par l’</w:t>
            </w:r>
            <w:r w:rsidR="00AC18EB" w:rsidRPr="00406D08">
              <w:rPr>
                <w:rFonts w:ascii="Arial" w:eastAsia="MS Mincho" w:hAnsi="Arial" w:cs="Arial"/>
                <w:sz w:val="18"/>
                <w:szCs w:val="18"/>
              </w:rPr>
              <w:t>État</w:t>
            </w: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 est-elle organisée ? Quels en sont les acteurs internes ? Comment s’assure-t-on qu’ils ont accès aux ressources nationales et qu’ils identifient bien les circuits d’assistance et d’accompagnement ? </w:t>
            </w:r>
            <w:r w:rsidRPr="00406D08">
              <w:rPr>
                <w:rFonts w:ascii="Arial" w:eastAsia="MS Mincho" w:hAnsi="Arial" w:cs="Arial"/>
                <w:i/>
                <w:sz w:val="18"/>
                <w:szCs w:val="18"/>
              </w:rPr>
              <w:t>Renvoi au guide utilisateur</w:t>
            </w:r>
          </w:p>
          <w:p w14:paraId="5F46957D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et quand les élèves sont-ils informés des conditions et modalités d’obtention de l’allocation financée par l’État ? Quels sont leurs interlocuteurs au sein de l’établissement à ce sujet en cours d’année ?</w:t>
            </w:r>
          </w:p>
          <w:p w14:paraId="31E1D0DA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les informations relatives aux PFMP et au versement de l’allocation sont-elles communiquées aux élèves et aux familles en amont, pendant les PFMP et en aval ?</w:t>
            </w:r>
          </w:p>
          <w:p w14:paraId="3F15F903" w14:textId="77777777" w:rsidR="00406D08" w:rsidRPr="00406D08" w:rsidRDefault="00406D08" w:rsidP="00406D08">
            <w:pPr>
              <w:spacing w:before="120" w:after="60"/>
              <w:ind w:left="176" w:hanging="176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Préparer</w:t>
            </w:r>
          </w:p>
          <w:p w14:paraId="48FEBC4F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est organisée la semaine de préparation à la première PFMP ?</w:t>
            </w:r>
          </w:p>
          <w:p w14:paraId="6F8B02D4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s’articulent les rôles des personnels qui composent le BDE, du DDFPT du professeur référent, du professeur principal et des autres enseignants ?</w:t>
            </w:r>
          </w:p>
          <w:p w14:paraId="42F880F1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la recherche des entreprises accueillant des élèves pour des périodes de formation en entreprise est-elle organisée ? Quels sont les outils et les dispositifs utilisés (banques de stages nationale, académique) ? </w:t>
            </w:r>
          </w:p>
          <w:p w14:paraId="52777631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les offres sont-elles validées par l’établissement ? </w:t>
            </w:r>
          </w:p>
          <w:p w14:paraId="4BFE0B12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les élèves sont-ils accompagnés dans leur recherche ? Comment la mobilité des élèves est-elle encouragée et développée ? </w:t>
            </w:r>
          </w:p>
          <w:p w14:paraId="6BFB8023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les risques d’accidents et questions de sécurité sont-ils anticipés et préparés, en lien avec les élèves, les enseignants, les milieux professionnels ?</w:t>
            </w:r>
          </w:p>
          <w:p w14:paraId="2A6FAD50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le lien établissement-entreprise est-il construit et entretenu ? </w:t>
            </w:r>
          </w:p>
          <w:p w14:paraId="19588D70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les tuteurs d’entreprise sont-ils informés de leurs obligations pédagogiques et évaluatives ?</w:t>
            </w:r>
          </w:p>
          <w:p w14:paraId="7536BE14" w14:textId="77777777" w:rsidR="00406D08" w:rsidRPr="00406D08" w:rsidRDefault="00406D08" w:rsidP="00406D08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 xml:space="preserve">Comment les élèves sont-ils préparés à la découverte du monde professionnel et à la rencontre avec l’entreprise qui les accueille ? </w:t>
            </w:r>
          </w:p>
          <w:p w14:paraId="7A6FC8F5" w14:textId="77777777" w:rsidR="00DB56D0" w:rsidRDefault="00DB56D0" w:rsidP="009F197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CE2AFA0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684D5E8" w14:textId="77777777" w:rsid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56D56CA" w14:textId="5592DF68" w:rsidR="00935DEE" w:rsidRPr="00935DEE" w:rsidRDefault="00406D08" w:rsidP="00406D08">
            <w:pPr>
              <w:tabs>
                <w:tab w:val="left" w:pos="2595"/>
              </w:tabs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740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5F677E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5F677E">
            <w:pPr>
              <w:spacing w:after="120"/>
              <w:ind w:left="79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3E3CE7F5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stages ou PFMP : nombre de semaines de stage cumulées par un établissement, une filière, nombre d’élèves ayant trouvé un stage (ou non), temps pour trouver un stage</w:t>
            </w:r>
          </w:p>
          <w:p w14:paraId="419B7879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Nombre de stages ou PFMP à l’étranger</w:t>
            </w:r>
          </w:p>
          <w:p w14:paraId="046984F7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partenaires : nombre d’entreprises, de collectivités locales</w:t>
            </w:r>
          </w:p>
          <w:p w14:paraId="5F1EA463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d’accompagnement : actions de remédiation (nombre, type), nombre de ruptures de contrats d’apprentissage ou de période de formation en entreprise</w:t>
            </w:r>
          </w:p>
          <w:p w14:paraId="35954DB2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réseaux : nombre de contacts avec les pôles de stages</w:t>
            </w:r>
          </w:p>
          <w:p w14:paraId="3BD27670" w14:textId="77777777" w:rsidR="00406D08" w:rsidRPr="00406D08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Taux de personnels formés à la pédagogie de l’alternance</w:t>
            </w:r>
          </w:p>
          <w:p w14:paraId="496DE2AF" w14:textId="14167930" w:rsidR="00BE65D0" w:rsidRPr="00401CCB" w:rsidRDefault="00406D08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Nombre de réclamations relatives à l’allocation, taux de dossiers PFMP traité en interne</w:t>
            </w:r>
          </w:p>
        </w:tc>
      </w:tr>
    </w:tbl>
    <w:p w14:paraId="3DE7EA64" w14:textId="77777777" w:rsidR="00DB56D0" w:rsidRDefault="00DB56D0" w:rsidP="00DB56D0"/>
    <w:tbl>
      <w:tblPr>
        <w:tblStyle w:val="Grilledutableau2"/>
        <w:tblW w:w="16160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9639"/>
        <w:gridCol w:w="236"/>
        <w:gridCol w:w="47"/>
        <w:gridCol w:w="2693"/>
        <w:gridCol w:w="142"/>
      </w:tblGrid>
      <w:tr w:rsidR="00300716" w:rsidRPr="00935DEE" w14:paraId="5D6B2049" w14:textId="77777777" w:rsidTr="00A952ED">
        <w:trPr>
          <w:trHeight w:hRule="exact" w:val="1814"/>
        </w:trPr>
        <w:tc>
          <w:tcPr>
            <w:tcW w:w="13042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4A1CEB3F" w14:textId="77777777" w:rsidR="00300716" w:rsidRPr="00935DEE" w:rsidRDefault="00300716" w:rsidP="00A952ED">
            <w:pPr>
              <w:keepNext/>
              <w:keepLines/>
              <w:spacing w:before="40" w:after="40"/>
              <w:outlineLvl w:val="1"/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</w:pPr>
            <w:r w:rsidRPr="009353BF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 xml:space="preserve">1.7 Organiser et exploiter les périodes de formation en milieu professionnel (PFMP) et les stages </w:t>
            </w:r>
            <w:r w:rsidRPr="00935DEE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2</w:t>
            </w:r>
            <w:r w:rsidRPr="00935DEE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/2)</w:t>
            </w:r>
          </w:p>
          <w:p w14:paraId="5279AB39" w14:textId="72C1533F" w:rsidR="00300716" w:rsidRPr="00300716" w:rsidRDefault="00300716" w:rsidP="00A952ED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B244C">
              <w:rPr>
                <w:rFonts w:ascii="Arial" w:hAnsi="Arial" w:cs="Arial"/>
                <w:sz w:val="14"/>
                <w:szCs w:val="14"/>
              </w:rPr>
              <w:t>Code de l’éducation</w:t>
            </w:r>
            <w:r w:rsidRPr="002B244C">
              <w:rPr>
                <w:rFonts w:ascii="Arial" w:hAnsi="Arial" w:cs="Arial"/>
                <w:b/>
                <w:sz w:val="14"/>
                <w:szCs w:val="14"/>
              </w:rPr>
              <w:t xml:space="preserve"> : articles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21" w:anchor="LEGISCTA000029233447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L124-1 à L124-20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, </w:t>
            </w:r>
            <w:hyperlink r:id="rId22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 D124-1 à R124-13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23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L332-3-1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. Code du travail : articles </w:t>
            </w:r>
            <w:hyperlink r:id="rId24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R4153-38 à R4153-45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. Décret 2019-907 du 30-8-2019, arrêté du 30-8-2019 (création d’une unité facultative de mobilité et de l’attestation </w:t>
            </w:r>
            <w:proofErr w:type="spellStart"/>
            <w:r w:rsidRPr="002B244C">
              <w:rPr>
                <w:rFonts w:ascii="Arial" w:hAnsi="Arial" w:cs="Arial"/>
                <w:sz w:val="14"/>
                <w:szCs w:val="14"/>
              </w:rPr>
              <w:t>MobilitéPro</w:t>
            </w:r>
            <w:proofErr w:type="spellEnd"/>
            <w:r w:rsidRPr="002B244C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25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baccalauréat professionnel   </w:t>
            </w:r>
            <w:hyperlink r:id="rId26" w:history="1">
              <w:r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certificat d’aptitude professionnelle. Circulaires </w:t>
            </w:r>
            <w:hyperlink r:id="rId27" w:history="1">
              <w:r w:rsidRPr="002B24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n° 2016-053 du 29-3-2016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(organisation et accompagnement des périodes de formation en milieu professionnel), </w:t>
            </w:r>
            <w:hyperlink r:id="rId28" w:history="1">
              <w:r w:rsidRPr="002B24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n° 2016-055 du 29-3-2016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(réussir l’entrée au lycée professionnel).  </w:t>
            </w:r>
            <w:hyperlink r:id="rId29" w:history="1">
              <w:r w:rsidRPr="002B24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Circulaire du 24 mai 2023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> (bureau des entreprises)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2B244C">
              <w:rPr>
                <w:rFonts w:ascii="Arial" w:hAnsi="Arial" w:cs="Arial"/>
                <w:sz w:val="14"/>
                <w:szCs w:val="14"/>
              </w:rPr>
              <w:t xml:space="preserve"> Note de service </w:t>
            </w:r>
            <w:hyperlink r:id="rId30" w:history="1">
              <w:r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professionnel).</w:t>
            </w:r>
            <w:hyperlink r:id="rId31" w:tgtFrame="_blank" w:history="1">
              <w:r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  <w:r>
                <w:rPr>
                  <w:rFonts w:ascii="Arial" w:eastAsia="Yu Gothic" w:hAnsi="Arial" w:cs="Arial"/>
                  <w:color w:val="0000FF"/>
                  <w:sz w:val="14"/>
                  <w:szCs w:val="14"/>
                  <w:u w:val="single"/>
                </w:rPr>
                <w:t>Décret n° 2023-765 du 11 août 2023</w:t>
              </w:r>
            </w:hyperlink>
            <w:r w:rsidRPr="002B244C">
              <w:rPr>
                <w:rFonts w:ascii="Arial" w:eastAsia="Yu Gothic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Yu Gothic" w:hAnsi="Arial" w:cs="Arial"/>
                <w:sz w:val="14"/>
                <w:szCs w:val="14"/>
              </w:rPr>
              <w:t xml:space="preserve">et </w:t>
            </w:r>
            <w:hyperlink r:id="rId32" w:tgtFrame="_blank" w:history="1">
              <w:r w:rsidRPr="009E7BC8">
                <w:rPr>
                  <w:rStyle w:val="Lienhypertexte"/>
                  <w:rFonts w:ascii="Arial" w:eastAsia="Yu Gothic" w:hAnsi="Arial" w:cs="Arial"/>
                  <w:sz w:val="14"/>
                  <w:szCs w:val="14"/>
                </w:rPr>
                <w:t>arrêté du 11 août 2023</w:t>
              </w:r>
            </w:hyperlink>
            <w:r>
              <w:rPr>
                <w:rFonts w:ascii="Arial" w:eastAsia="Yu Gothic" w:hAnsi="Arial" w:cs="Arial"/>
                <w:sz w:val="14"/>
                <w:szCs w:val="14"/>
              </w:rPr>
              <w:t xml:space="preserve"> </w:t>
            </w:r>
            <w:r w:rsidRPr="009E7BC8">
              <w:rPr>
                <w:rFonts w:ascii="Arial" w:eastAsia="Yu Gothic" w:hAnsi="Arial" w:cs="Arial"/>
                <w:sz w:val="14"/>
                <w:szCs w:val="14"/>
              </w:rPr>
              <w:t>(allocation PFMP)</w:t>
            </w:r>
            <w:r>
              <w:rPr>
                <w:rFonts w:ascii="Arial" w:eastAsia="Yu Gothic" w:hAnsi="Arial" w:cs="Arial"/>
                <w:sz w:val="14"/>
                <w:szCs w:val="14"/>
              </w:rPr>
              <w:t xml:space="preserve">. </w:t>
            </w:r>
            <w:r w:rsidR="00970F64">
              <w:rPr>
                <w:rFonts w:ascii="Arial" w:eastAsia="Yu Gothic" w:hAnsi="Arial" w:cs="Arial"/>
                <w:sz w:val="14"/>
                <w:szCs w:val="14"/>
              </w:rPr>
              <w:t>F</w:t>
            </w:r>
            <w:r>
              <w:rPr>
                <w:rFonts w:ascii="Arial" w:eastAsia="Yu Gothic" w:hAnsi="Arial" w:cs="Arial"/>
                <w:sz w:val="14"/>
                <w:szCs w:val="14"/>
              </w:rPr>
              <w:t>oire aux questions relatives à l’allocation de PFMP</w:t>
            </w:r>
            <w:r w:rsidR="00970F64">
              <w:rPr>
                <w:rFonts w:ascii="Arial" w:eastAsia="Yu Gothic" w:hAnsi="Arial" w:cs="Arial"/>
                <w:sz w:val="14"/>
                <w:szCs w:val="14"/>
              </w:rPr>
              <w:t xml:space="preserve"> en ligne sur </w:t>
            </w:r>
            <w:proofErr w:type="spellStart"/>
            <w:r w:rsidR="00970F64">
              <w:rPr>
                <w:rFonts w:ascii="Arial" w:eastAsia="Yu Gothic" w:hAnsi="Arial" w:cs="Arial"/>
                <w:sz w:val="14"/>
                <w:szCs w:val="14"/>
              </w:rPr>
              <w:t>Eduscol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0AA93A8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7BA" w14:textId="77777777" w:rsidR="00300716" w:rsidRPr="00935DEE" w:rsidRDefault="00300716" w:rsidP="00A952ED">
            <w:pPr>
              <w:ind w:left="8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673C0522" wp14:editId="049DE07E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16" w:rsidRPr="00935DEE" w14:paraId="048F3E6A" w14:textId="77777777" w:rsidTr="00A952ED">
        <w:trPr>
          <w:gridAfter w:val="1"/>
          <w:wAfter w:w="142" w:type="dxa"/>
          <w:trHeight w:val="57"/>
        </w:trPr>
        <w:tc>
          <w:tcPr>
            <w:tcW w:w="3119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71C288ED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E854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6DCBEA7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C1DE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F3C3A24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935DEE" w14:paraId="1CA2790C" w14:textId="77777777" w:rsidTr="00A952ED">
        <w:trPr>
          <w:gridAfter w:val="1"/>
          <w:wAfter w:w="142" w:type="dxa"/>
          <w:trHeight w:hRule="exact" w:val="573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65A18FE" w14:textId="77777777" w:rsidR="00300716" w:rsidRPr="00935DEE" w:rsidRDefault="00300716" w:rsidP="00A952ED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97D6964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3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B41061B" w14:textId="77777777" w:rsidR="00300716" w:rsidRPr="00935DEE" w:rsidRDefault="00300716" w:rsidP="00A952ED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3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8941F6A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585E4AD" w14:textId="77777777" w:rsidR="00300716" w:rsidRPr="00935DEE" w:rsidRDefault="00300716" w:rsidP="00A952ED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300716" w:rsidRPr="00935DEE" w14:paraId="2D59C089" w14:textId="77777777" w:rsidTr="00A952ED">
        <w:trPr>
          <w:gridAfter w:val="1"/>
          <w:wAfter w:w="142" w:type="dxa"/>
          <w:trHeight w:hRule="exact" w:val="7143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00A7DAE" w14:textId="77777777" w:rsidR="00300716" w:rsidRPr="00935DEE" w:rsidRDefault="00300716" w:rsidP="00A952ED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4D843827" w14:textId="77777777" w:rsidR="00300716" w:rsidRPr="00406D08" w:rsidRDefault="00300716" w:rsidP="00A952ED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 xml:space="preserve">Toutes les formations professionnelles comportent aujourd'hui un stage ou une période de formation en entreprise obligatoires. </w:t>
            </w:r>
            <w:r>
              <w:rPr>
                <w:rFonts w:ascii="Arial" w:eastAsiaTheme="majorEastAsia" w:hAnsi="Arial" w:cs="Arial"/>
                <w:sz w:val="18"/>
                <w:szCs w:val="18"/>
              </w:rPr>
              <w:t xml:space="preserve">Pour </w:t>
            </w:r>
            <w:r w:rsidRPr="00300716">
              <w:rPr>
                <w:rFonts w:ascii="Arial" w:eastAsiaTheme="majorEastAsia" w:hAnsi="Arial" w:cs="Arial"/>
                <w:sz w:val="18"/>
                <w:szCs w:val="18"/>
              </w:rPr>
              <w:t>les lycéens qui préparent un diplôme professionnel de niveau secondaire</w:t>
            </w:r>
            <w:r>
              <w:rPr>
                <w:rFonts w:ascii="Arial" w:eastAsiaTheme="majorEastAsia" w:hAnsi="Arial" w:cs="Arial"/>
                <w:sz w:val="18"/>
                <w:szCs w:val="18"/>
              </w:rPr>
              <w:t>, l</w:t>
            </w: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es PFMP donnent lieu à une allocation.</w:t>
            </w:r>
          </w:p>
          <w:p w14:paraId="646B15FE" w14:textId="77777777" w:rsidR="00300716" w:rsidRPr="00406D08" w:rsidRDefault="00300716" w:rsidP="00300716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les périodes de formation en milieu professionnel s’insèrent-elles dans la stratégie de l’établissement ? Quels sont les axes stratégiques développés ? Quels sont les objectifs définis ?</w:t>
            </w:r>
          </w:p>
          <w:p w14:paraId="7B37ABB4" w14:textId="77777777" w:rsidR="00300716" w:rsidRPr="00406D08" w:rsidRDefault="00300716" w:rsidP="00300716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la réflexion autour des PFMP se construit-elle dans le cadre de la relation école-entreprises ?</w:t>
            </w:r>
          </w:p>
          <w:p w14:paraId="21C310F4" w14:textId="77777777" w:rsidR="00300716" w:rsidRPr="00406D08" w:rsidRDefault="00300716" w:rsidP="00300716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la planification et l’organisation des PFMP s’articulent-elles avec l’acquisition des compétences attendues pour une spécialité donnée ?</w:t>
            </w:r>
          </w:p>
          <w:p w14:paraId="536E1E28" w14:textId="77777777" w:rsidR="00300716" w:rsidRPr="00406D08" w:rsidRDefault="00300716" w:rsidP="00300716">
            <w:pPr>
              <w:pStyle w:val="Paragraphedeliste"/>
              <w:keepNext/>
              <w:keepLines/>
              <w:numPr>
                <w:ilvl w:val="0"/>
                <w:numId w:val="14"/>
              </w:numPr>
              <w:spacing w:after="120"/>
              <w:ind w:left="316" w:hanging="28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406D08">
              <w:rPr>
                <w:rFonts w:ascii="Arial" w:eastAsiaTheme="majorEastAsia" w:hAnsi="Arial" w:cs="Arial"/>
                <w:sz w:val="18"/>
                <w:szCs w:val="18"/>
              </w:rPr>
              <w:t>Comment cette information est-elle communiquée aux différentes parties ? Quelle est l’information prévue pour les élèves et pour les familles ?</w:t>
            </w:r>
          </w:p>
          <w:p w14:paraId="4287C33E" w14:textId="77777777" w:rsidR="00300716" w:rsidRPr="00935DEE" w:rsidRDefault="00300716" w:rsidP="00A952E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D59EBC6" w14:textId="77777777" w:rsidR="00300716" w:rsidRPr="00935DEE" w:rsidRDefault="00300716" w:rsidP="00A952E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B70B5C" w14:textId="77777777" w:rsidR="00300716" w:rsidRPr="00935DEE" w:rsidRDefault="00300716" w:rsidP="00A952ED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 w:rsidRPr="00935DEE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623B88C9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63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20FB61FC" w14:textId="77777777" w:rsidR="00300716" w:rsidRPr="00935DEE" w:rsidRDefault="00300716" w:rsidP="00A952ED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66EAC7A7" w14:textId="77777777" w:rsidR="00300716" w:rsidRPr="00AC18EB" w:rsidRDefault="00300716" w:rsidP="00A952ED">
            <w:pPr>
              <w:spacing w:before="120" w:after="60"/>
              <w:ind w:left="176" w:hanging="176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Accompagner et évaluer</w:t>
            </w:r>
          </w:p>
          <w:p w14:paraId="57FA39F8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 xml:space="preserve">Quelle est l’organisation des visites de suivi et des visites d’évaluation ? Comment le suivi par les enseignants de la section est-il défini et formalisé ? Quel est le rôle des professeurs d’enseignement général ? </w:t>
            </w:r>
          </w:p>
          <w:p w14:paraId="358EB2F1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 xml:space="preserve">Quels sont les documents permettant le suivi des élèves en entreprise (niveau d’acquisition des compétences visées, comportement, attitude au travail) ? Comment ces compétences sont-elles valorisées ? </w:t>
            </w:r>
          </w:p>
          <w:p w14:paraId="3E7384D8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>Comment l’élève prend-il conscience des compétences qu’il a développées ? de celles qui restent à acquérir ?</w:t>
            </w:r>
          </w:p>
          <w:p w14:paraId="70BC1C45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>Quelle exploitation de l’annexe 4 de la convention de stage relative à l’évaluation de la qualité de l’accueil par le stagiaire est-elle faite ?</w:t>
            </w:r>
          </w:p>
          <w:p w14:paraId="7B95800B" w14:textId="77777777" w:rsidR="00300716" w:rsidRPr="00AC18EB" w:rsidRDefault="00300716" w:rsidP="00A952ED">
            <w:pPr>
              <w:spacing w:before="120" w:after="60"/>
              <w:ind w:left="176" w:hanging="176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Réinvestir</w:t>
            </w:r>
          </w:p>
          <w:p w14:paraId="315E254D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>Comment les différentes expériences des élèves, quelles qu’elles soient, sont-elles réinvesties ?</w:t>
            </w:r>
          </w:p>
          <w:p w14:paraId="03C9C5D4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>Quelle est l’utilisation pédagogique des périodes de formation en entreprise au retour des élèves ?</w:t>
            </w:r>
          </w:p>
          <w:p w14:paraId="6EB71B19" w14:textId="77777777" w:rsidR="00300716" w:rsidRPr="00AC18EB" w:rsidRDefault="00300716" w:rsidP="00A952ED">
            <w:pPr>
              <w:spacing w:before="120" w:after="60"/>
              <w:ind w:left="176" w:hanging="176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Communiquer</w:t>
            </w:r>
          </w:p>
          <w:p w14:paraId="01977A0F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 xml:space="preserve">Quelle est la stratégie de communication, en interne et en externe, pour valoriser les PFMP ? </w:t>
            </w:r>
          </w:p>
          <w:p w14:paraId="2B323B30" w14:textId="77777777" w:rsidR="00300716" w:rsidRPr="00AC18EB" w:rsidRDefault="00300716" w:rsidP="00300716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C18EB">
              <w:rPr>
                <w:rFonts w:ascii="Arial" w:eastAsia="MS Mincho" w:hAnsi="Arial" w:cs="Arial"/>
                <w:sz w:val="18"/>
                <w:szCs w:val="18"/>
              </w:rPr>
              <w:t>Comment le retour d’expérience est-il communiqué aux entreprises ?</w:t>
            </w:r>
          </w:p>
          <w:p w14:paraId="41155A95" w14:textId="77777777" w:rsidR="00300716" w:rsidRPr="00935DEE" w:rsidRDefault="00300716" w:rsidP="00A952E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B40E9AB" w14:textId="77777777" w:rsidR="00300716" w:rsidRPr="00935DEE" w:rsidRDefault="00300716" w:rsidP="00A952E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4513E0E" w14:textId="77777777" w:rsidR="00300716" w:rsidRPr="00935DEE" w:rsidRDefault="00300716" w:rsidP="00A952ED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BC67F85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7916E263" w14:textId="77777777" w:rsidR="00300716" w:rsidRPr="00935DEE" w:rsidRDefault="00300716" w:rsidP="005F677E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935DEE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7DF7DE55" w14:textId="77777777" w:rsidR="00300716" w:rsidRPr="00935DEE" w:rsidRDefault="00300716" w:rsidP="005F677E">
            <w:pPr>
              <w:spacing w:after="120"/>
              <w:ind w:left="79"/>
              <w:rPr>
                <w:rFonts w:ascii="Arial" w:hAnsi="Arial" w:cs="Arial"/>
                <w:color w:val="EE7444"/>
              </w:rPr>
            </w:pPr>
            <w:proofErr w:type="gramStart"/>
            <w:r w:rsidRPr="00935DEE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935DEE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935DEE">
              <w:rPr>
                <w:rFonts w:ascii="Arial" w:hAnsi="Arial" w:cs="Arial"/>
                <w:color w:val="EE7444"/>
              </w:rPr>
              <w:t xml:space="preserve"> </w:t>
            </w:r>
          </w:p>
          <w:p w14:paraId="29195226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stages ou PFMP : nombre de semaines de stage cumulées par un établissement, une filière, nombre d’élèves ayant trouvé un stage (ou non), temps pour trouver un stage</w:t>
            </w:r>
          </w:p>
          <w:p w14:paraId="4B714B9A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Nombre de stages ou PFMP à l’étranger</w:t>
            </w:r>
          </w:p>
          <w:p w14:paraId="546E3DF1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partenaires : nombre d’entreprises, de collectivités locales</w:t>
            </w:r>
          </w:p>
          <w:p w14:paraId="244B2F14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d’accompagnement : actions de remédiation (nombre, type), nombre de ruptures de contrats d’apprentissage ou de période de formation en entreprise</w:t>
            </w:r>
          </w:p>
          <w:p w14:paraId="7359D4A6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Indicateurs relatifs aux réseaux : nombre de contacts avec les pôles de stages</w:t>
            </w:r>
          </w:p>
          <w:p w14:paraId="583FE1F5" w14:textId="77777777" w:rsidR="00300716" w:rsidRPr="00406D08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Taux de personnels formés à la pédagogie de l’alternance</w:t>
            </w:r>
          </w:p>
          <w:p w14:paraId="25CC655F" w14:textId="77777777" w:rsidR="00300716" w:rsidRPr="00935DEE" w:rsidRDefault="00300716" w:rsidP="005F677E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Nombre de réclamations relatives à l’allocation, taux de dossiers PFMP traité en interne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300716">
          <w:footerReference w:type="default" r:id="rId33"/>
          <w:pgSz w:w="16838" w:h="11906" w:orient="landscape"/>
          <w:pgMar w:top="471" w:right="1387" w:bottom="1" w:left="1134" w:header="142" w:footer="343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33047139">
              <wp:simplePos x="0" y="0"/>
              <wp:positionH relativeFrom="column">
                <wp:posOffset>1149350</wp:posOffset>
              </wp:positionH>
              <wp:positionV relativeFrom="paragraph">
                <wp:posOffset>54497</wp:posOffset>
              </wp:positionV>
              <wp:extent cx="2231136" cy="595658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59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38AB42BE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5pt;margin-top:4.3pt;width:175.7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2MdgIAAGUFAAAOAAAAZHJzL2Uyb0RvYy54bWysVEtPGzEQvlfqf7B8L5sEkkLEBqUgqkoI&#10;UKHi7HhtYtXrce1JdtNfz9i7eZRyoepld+z55vV5Zs4v2tqytQrRgCv58GjAmXISKuOeS/7j8frT&#10;K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" fillcolor="white [3201]" stroked="f" strokeweight=".5pt">
              <v:textbox>
                <w:txbxContent>
                  <w:p w14:paraId="2F782134" w14:textId="38AB42BE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6BBC4FA4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406D08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6BBC4FA4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406D08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9"/>
  </w:num>
  <w:num w:numId="2" w16cid:durableId="1496527722">
    <w:abstractNumId w:val="0"/>
  </w:num>
  <w:num w:numId="3" w16cid:durableId="1942570898">
    <w:abstractNumId w:val="7"/>
  </w:num>
  <w:num w:numId="4" w16cid:durableId="8222907">
    <w:abstractNumId w:val="12"/>
  </w:num>
  <w:num w:numId="5" w16cid:durableId="2008701794">
    <w:abstractNumId w:val="8"/>
  </w:num>
  <w:num w:numId="6" w16cid:durableId="514928024">
    <w:abstractNumId w:val="5"/>
  </w:num>
  <w:num w:numId="7" w16cid:durableId="369577301">
    <w:abstractNumId w:val="13"/>
  </w:num>
  <w:num w:numId="8" w16cid:durableId="1352150428">
    <w:abstractNumId w:val="11"/>
  </w:num>
  <w:num w:numId="9" w16cid:durableId="610284317">
    <w:abstractNumId w:val="4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0"/>
  </w:num>
  <w:num w:numId="13" w16cid:durableId="1464075894">
    <w:abstractNumId w:val="3"/>
  </w:num>
  <w:num w:numId="14" w16cid:durableId="2134472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18C2"/>
    <w:rsid w:val="000850E8"/>
    <w:rsid w:val="000A1EDB"/>
    <w:rsid w:val="000A5A91"/>
    <w:rsid w:val="000A6FED"/>
    <w:rsid w:val="000C032B"/>
    <w:rsid w:val="000D1AEE"/>
    <w:rsid w:val="000F4D07"/>
    <w:rsid w:val="0012632A"/>
    <w:rsid w:val="00127EA9"/>
    <w:rsid w:val="0013428E"/>
    <w:rsid w:val="001407FA"/>
    <w:rsid w:val="00167567"/>
    <w:rsid w:val="001A4A6A"/>
    <w:rsid w:val="001B37E2"/>
    <w:rsid w:val="001E1709"/>
    <w:rsid w:val="00224C3B"/>
    <w:rsid w:val="00246FD9"/>
    <w:rsid w:val="002515C9"/>
    <w:rsid w:val="002838D7"/>
    <w:rsid w:val="00286C64"/>
    <w:rsid w:val="00287D65"/>
    <w:rsid w:val="002A5DE8"/>
    <w:rsid w:val="002B1FB6"/>
    <w:rsid w:val="00300716"/>
    <w:rsid w:val="00300E11"/>
    <w:rsid w:val="003426AD"/>
    <w:rsid w:val="003B2904"/>
    <w:rsid w:val="003F19AB"/>
    <w:rsid w:val="00401CCB"/>
    <w:rsid w:val="00406D08"/>
    <w:rsid w:val="00436D64"/>
    <w:rsid w:val="00464261"/>
    <w:rsid w:val="00484223"/>
    <w:rsid w:val="004B62D6"/>
    <w:rsid w:val="004B73D9"/>
    <w:rsid w:val="004C2671"/>
    <w:rsid w:val="004C5166"/>
    <w:rsid w:val="004D6944"/>
    <w:rsid w:val="00525365"/>
    <w:rsid w:val="0055112B"/>
    <w:rsid w:val="005F677E"/>
    <w:rsid w:val="00640C67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B5ED0"/>
    <w:rsid w:val="00816F70"/>
    <w:rsid w:val="00817537"/>
    <w:rsid w:val="00830716"/>
    <w:rsid w:val="00863C62"/>
    <w:rsid w:val="008702A8"/>
    <w:rsid w:val="00871D88"/>
    <w:rsid w:val="0087536D"/>
    <w:rsid w:val="008C62CE"/>
    <w:rsid w:val="008F3D0F"/>
    <w:rsid w:val="008F4D8F"/>
    <w:rsid w:val="00902070"/>
    <w:rsid w:val="00905628"/>
    <w:rsid w:val="00924315"/>
    <w:rsid w:val="009353BF"/>
    <w:rsid w:val="00935DEE"/>
    <w:rsid w:val="00970F64"/>
    <w:rsid w:val="009E77A4"/>
    <w:rsid w:val="009F1970"/>
    <w:rsid w:val="00A229F4"/>
    <w:rsid w:val="00A9517C"/>
    <w:rsid w:val="00A97672"/>
    <w:rsid w:val="00AA0CB0"/>
    <w:rsid w:val="00AC18EB"/>
    <w:rsid w:val="00AC414F"/>
    <w:rsid w:val="00B04563"/>
    <w:rsid w:val="00B24E14"/>
    <w:rsid w:val="00B37D7D"/>
    <w:rsid w:val="00B44C13"/>
    <w:rsid w:val="00B4659B"/>
    <w:rsid w:val="00B471F2"/>
    <w:rsid w:val="00B65C50"/>
    <w:rsid w:val="00B850CF"/>
    <w:rsid w:val="00B87B70"/>
    <w:rsid w:val="00BC2A6A"/>
    <w:rsid w:val="00BD0C56"/>
    <w:rsid w:val="00BE65D0"/>
    <w:rsid w:val="00BF1B79"/>
    <w:rsid w:val="00C73334"/>
    <w:rsid w:val="00CC73DE"/>
    <w:rsid w:val="00CC79D9"/>
    <w:rsid w:val="00CF60FD"/>
    <w:rsid w:val="00D00107"/>
    <w:rsid w:val="00D04DB2"/>
    <w:rsid w:val="00D403B1"/>
    <w:rsid w:val="00D4569F"/>
    <w:rsid w:val="00D468E4"/>
    <w:rsid w:val="00D7761A"/>
    <w:rsid w:val="00DB56D0"/>
    <w:rsid w:val="00E033AF"/>
    <w:rsid w:val="00E368D5"/>
    <w:rsid w:val="00E67071"/>
    <w:rsid w:val="00E92E4C"/>
    <w:rsid w:val="00F025EA"/>
    <w:rsid w:val="00F079D0"/>
    <w:rsid w:val="00F47898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E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france.gouv.fr/loda/id/JORFTEXT000037833254/2025-07-08/" TargetMode="External"/><Relationship Id="rId18" Type="http://schemas.openxmlformats.org/officeDocument/2006/relationships/hyperlink" Target="https://www.legifrance.gouv.fr/jorf/id/JORFTEXT000047963959" TargetMode="External"/><Relationship Id="rId26" Type="http://schemas.openxmlformats.org/officeDocument/2006/relationships/hyperlink" Target="https://www.legifrance.gouv.fr/loda/id/JORFTEXT000037833254/2025-07-0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codes/section_lc/LEGITEXT000006071191/LEGISCTA000029233447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loda/id/JORFTEXT000037833273/2025-07-08/" TargetMode="External"/><Relationship Id="rId17" Type="http://schemas.openxmlformats.org/officeDocument/2006/relationships/hyperlink" Target="https://www.education.gouv.fr/bo/2025/Hebdo48/MENE2535318N" TargetMode="External"/><Relationship Id="rId25" Type="http://schemas.openxmlformats.org/officeDocument/2006/relationships/hyperlink" Target="https://www.legifrance.gouv.fr/loda/id/JORFTEXT000037833273/2025-07-08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ducation.gouv.fr/bo/2023/Hebdo21/MENE2311700C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education.gouv.fr/bo/2023/Hebdo21/MENE231170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.do?idSectionTA=LEGISCTA000028058656&amp;cidTexte=LEGITEXT000006072050" TargetMode="External"/><Relationship Id="rId24" Type="http://schemas.openxmlformats.org/officeDocument/2006/relationships/hyperlink" Target="https://www.legifrance.gouv.fr/affichCode.do?idSectionTA=LEGISCTA000028058656&amp;cidTexte=LEGITEXT000006072050" TargetMode="External"/><Relationship Id="rId32" Type="http://schemas.openxmlformats.org/officeDocument/2006/relationships/hyperlink" Target="https://www.legifrance.gouv.fr/jorf/id/JORFTEXT0000479639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uv.fr/pid285/bulletin_officiel.html?cid_bo=100538" TargetMode="External"/><Relationship Id="rId23" Type="http://schemas.openxmlformats.org/officeDocument/2006/relationships/hyperlink" Target="https://www.legifrance.gouv.fr/affichCodeArticle.do?idArticle=LEGIARTI000033975422&amp;cidTexte=LEGITEXT000006071191" TargetMode="External"/><Relationship Id="rId28" Type="http://schemas.openxmlformats.org/officeDocument/2006/relationships/hyperlink" Target="http://www.education.gouv.fr/pid285/bulletin_officiel.html?cid_bo=100538" TargetMode="External"/><Relationship Id="rId10" Type="http://schemas.openxmlformats.org/officeDocument/2006/relationships/hyperlink" Target="https://www.legifrance.gouv.fr/affichCodeArticle.do?idArticle=LEGIARTI000033975422&amp;cidTexte=LEGITEXT000006071191" TargetMode="External"/><Relationship Id="rId19" Type="http://schemas.openxmlformats.org/officeDocument/2006/relationships/hyperlink" Target="https://www.legifrance.gouv.fr/jorf/id/JORFTEXT000047963979" TargetMode="External"/><Relationship Id="rId31" Type="http://schemas.openxmlformats.org/officeDocument/2006/relationships/hyperlink" Target="https://www.legifrance.gouv.fr/jorf/id/JORFTEXT0000479639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.do;jsessionid=3AB4472BCF62E0ED17B7CC7A1DBFE156.tpdila22v_3?idSectionTA=LEGISCTA000029814078&amp;cidTexte=LEGITEXT000006071191" TargetMode="External"/><Relationship Id="rId14" Type="http://schemas.openxmlformats.org/officeDocument/2006/relationships/hyperlink" Target="http://www.education.gouv.fr/pid285/bulletin_officiel.html?cid_bo=100542" TargetMode="External"/><Relationship Id="rId22" Type="http://schemas.openxmlformats.org/officeDocument/2006/relationships/hyperlink" Target="https://www.legifrance.gouv.fr/affichCode.do;jsessionid=3AB4472BCF62E0ED17B7CC7A1DBFE156.tpdila22v_3?idSectionTA=LEGISCTA000029814078&amp;cidTexte=LEGITEXT000006071191" TargetMode="External"/><Relationship Id="rId27" Type="http://schemas.openxmlformats.org/officeDocument/2006/relationships/hyperlink" Target="http://www.education.gouv.fr/pid285/bulletin_officiel.html?cid_bo=100542" TargetMode="External"/><Relationship Id="rId30" Type="http://schemas.openxmlformats.org/officeDocument/2006/relationships/hyperlink" Target="https://www.education.gouv.fr/bo/2025/Hebdo48/MENE2535318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legifrance.gouv.fr/codes/section_lc/LEGITEXT000006071191/LEGISCTA00002923344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1839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7</cp:revision>
  <dcterms:created xsi:type="dcterms:W3CDTF">2026-03-16T09:33:00Z</dcterms:created>
  <dcterms:modified xsi:type="dcterms:W3CDTF">2026-03-16T10:23:00Z</dcterms:modified>
</cp:coreProperties>
</file>