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018" w:type="dxa"/>
        <w:tblInd w:w="-732" w:type="dxa"/>
        <w:tblLook w:val="04A0" w:firstRow="1" w:lastRow="0" w:firstColumn="1" w:lastColumn="0" w:noHBand="0" w:noVBand="1"/>
      </w:tblPr>
      <w:tblGrid>
        <w:gridCol w:w="2835"/>
        <w:gridCol w:w="236"/>
        <w:gridCol w:w="8411"/>
        <w:gridCol w:w="236"/>
        <w:gridCol w:w="992"/>
        <w:gridCol w:w="3147"/>
        <w:gridCol w:w="161"/>
      </w:tblGrid>
      <w:tr w:rsidR="00AC414F" w:rsidRPr="00401CCB" w14:paraId="75457DC7" w14:textId="77777777" w:rsidTr="00C90183">
        <w:trPr>
          <w:trHeight w:hRule="exact" w:val="1247"/>
        </w:trPr>
        <w:tc>
          <w:tcPr>
            <w:tcW w:w="11482"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6D9CF3EA" w14:textId="4388ED71" w:rsidR="005F3EF7" w:rsidRDefault="005F3EF7" w:rsidP="001E1709">
            <w:pPr>
              <w:pStyle w:val="Titre2"/>
              <w:numPr>
                <w:ilvl w:val="0"/>
                <w:numId w:val="0"/>
              </w:numPr>
              <w:rPr>
                <w:rFonts w:ascii="Arial" w:hAnsi="Arial" w:cs="Arial"/>
                <w:sz w:val="30"/>
                <w:szCs w:val="30"/>
                <w:lang w:val="fr-FR"/>
              </w:rPr>
            </w:pPr>
            <w:r w:rsidRPr="005F3EF7">
              <w:rPr>
                <w:rFonts w:ascii="Arial" w:hAnsi="Arial" w:cs="Arial"/>
                <w:sz w:val="30"/>
                <w:szCs w:val="30"/>
                <w:lang w:val="fr-FR"/>
              </w:rPr>
              <w:t>2.</w:t>
            </w:r>
            <w:r w:rsidR="00F72C43">
              <w:rPr>
                <w:rFonts w:ascii="Arial" w:hAnsi="Arial" w:cs="Arial"/>
                <w:sz w:val="30"/>
                <w:szCs w:val="30"/>
                <w:lang w:val="fr-FR"/>
              </w:rPr>
              <w:t>15</w:t>
            </w:r>
            <w:r w:rsidRPr="005F3EF7">
              <w:rPr>
                <w:rFonts w:ascii="Arial" w:hAnsi="Arial" w:cs="Arial"/>
                <w:sz w:val="30"/>
                <w:szCs w:val="30"/>
                <w:lang w:val="fr-FR"/>
              </w:rPr>
              <w:t xml:space="preserve"> </w:t>
            </w:r>
            <w:r w:rsidR="00F72C43" w:rsidRPr="00F72C43">
              <w:rPr>
                <w:rFonts w:ascii="Arial" w:hAnsi="Arial" w:cs="Arial"/>
                <w:sz w:val="30"/>
                <w:szCs w:val="30"/>
                <w:lang w:val="fr-FR"/>
              </w:rPr>
              <w:t xml:space="preserve">Professionnaliser les acteurs du bureau des entreprises </w:t>
            </w:r>
            <w:r w:rsidRPr="005F3EF7">
              <w:rPr>
                <w:rFonts w:ascii="Arial" w:hAnsi="Arial" w:cs="Arial"/>
                <w:sz w:val="30"/>
                <w:szCs w:val="30"/>
                <w:lang w:val="fr-FR"/>
              </w:rPr>
              <w:t>(</w:t>
            </w:r>
            <w:r w:rsidR="00A778CE">
              <w:rPr>
                <w:rFonts w:ascii="Arial" w:hAnsi="Arial" w:cs="Arial"/>
                <w:sz w:val="30"/>
                <w:szCs w:val="30"/>
                <w:lang w:val="fr-FR"/>
              </w:rPr>
              <w:t>1/</w:t>
            </w:r>
            <w:r w:rsidR="00F72C43">
              <w:rPr>
                <w:rFonts w:ascii="Arial" w:hAnsi="Arial" w:cs="Arial"/>
                <w:sz w:val="30"/>
                <w:szCs w:val="30"/>
                <w:lang w:val="fr-FR"/>
              </w:rPr>
              <w:t>2</w:t>
            </w:r>
            <w:r w:rsidRPr="005F3EF7">
              <w:rPr>
                <w:rFonts w:ascii="Arial" w:hAnsi="Arial" w:cs="Arial"/>
                <w:sz w:val="30"/>
                <w:szCs w:val="30"/>
                <w:lang w:val="fr-FR"/>
              </w:rPr>
              <w:t>)</w:t>
            </w:r>
          </w:p>
          <w:p w14:paraId="3B0F9B2F" w14:textId="1DA7AFBA" w:rsidR="00744498" w:rsidRPr="00744498" w:rsidRDefault="003F2C41" w:rsidP="00744498">
            <w:pPr>
              <w:pStyle w:val="Titre2"/>
              <w:numPr>
                <w:ilvl w:val="0"/>
                <w:numId w:val="0"/>
              </w:numPr>
              <w:rPr>
                <w:rFonts w:ascii="Arial" w:eastAsia="MS Mincho" w:hAnsi="Arial" w:cs="Arial"/>
                <w:b w:val="0"/>
                <w:bCs w:val="0"/>
                <w:color w:val="auto"/>
                <w:sz w:val="14"/>
                <w:szCs w:val="14"/>
                <w:lang w:val="fr-FR" w:eastAsia="ja-JP"/>
              </w:rPr>
            </w:pPr>
            <w:hyperlink r:id="rId8" w:history="1">
              <w:r w:rsidR="00F72C43" w:rsidRPr="00F72C43">
                <w:rPr>
                  <w:rFonts w:ascii="Arial" w:eastAsia="Calibri" w:hAnsi="Arial" w:cs="Arial"/>
                  <w:b w:val="0"/>
                  <w:bCs w:val="0"/>
                  <w:color w:val="0000FF"/>
                  <w:sz w:val="14"/>
                  <w:szCs w:val="14"/>
                  <w:u w:val="single"/>
                  <w:lang w:val="fr-FR"/>
                </w:rPr>
                <w:t>Circulaire du 24 mai 2023</w:t>
              </w:r>
            </w:hyperlink>
            <w:r w:rsidR="00F72C43" w:rsidRPr="00F72C43">
              <w:rPr>
                <w:rFonts w:ascii="Arial" w:eastAsia="Calibri" w:hAnsi="Arial" w:cs="Arial"/>
                <w:b w:val="0"/>
                <w:bCs w:val="0"/>
                <w:color w:val="auto"/>
                <w:sz w:val="14"/>
                <w:szCs w:val="14"/>
                <w:lang w:val="fr-FR"/>
              </w:rPr>
              <w:t xml:space="preserve"> : Ouverture, à la rentrée scolaire 2023, d’un bureau des entreprises dans chaque lycée public professionnel et polyvalent avec section d’enseignement professionnel / </w:t>
            </w:r>
            <w:hyperlink r:id="rId9" w:history="1">
              <w:r w:rsidR="00F72C43" w:rsidRPr="00F72C43">
                <w:rPr>
                  <w:rFonts w:ascii="Arial" w:eastAsia="Calibri" w:hAnsi="Arial" w:cs="Arial"/>
                  <w:b w:val="0"/>
                  <w:bCs w:val="0"/>
                  <w:color w:val="0000FF"/>
                  <w:sz w:val="14"/>
                  <w:szCs w:val="14"/>
                  <w:u w:val="single"/>
                  <w:lang w:val="fr-FR"/>
                </w:rPr>
                <w:t>Circulaire n° 2016-137 du 11-10-2016 </w:t>
              </w:r>
            </w:hyperlink>
            <w:r w:rsidR="00F72C43" w:rsidRPr="00F72C43">
              <w:rPr>
                <w:rFonts w:ascii="Arial" w:eastAsia="Calibri" w:hAnsi="Arial" w:cs="Arial"/>
                <w:b w:val="0"/>
                <w:bCs w:val="0"/>
                <w:color w:val="auto"/>
                <w:sz w:val="14"/>
                <w:szCs w:val="14"/>
                <w:lang w:val="fr-FR"/>
              </w:rPr>
              <w:t xml:space="preserve">: Missions des directeurs délégués aux formations professionnelles et technologiques / </w:t>
            </w:r>
            <w:hyperlink r:id="rId10" w:history="1">
              <w:r w:rsidR="00F72C43" w:rsidRPr="00F72C43">
                <w:rPr>
                  <w:rFonts w:ascii="Arial" w:eastAsia="Calibri" w:hAnsi="Arial" w:cs="Arial"/>
                  <w:b w:val="0"/>
                  <w:bCs w:val="0"/>
                  <w:color w:val="0000FF"/>
                  <w:sz w:val="14"/>
                  <w:szCs w:val="14"/>
                  <w:u w:val="single"/>
                  <w:lang w:val="fr-FR"/>
                </w:rPr>
                <w:t>Circulaire n° 2016-183 du 22-11-2016</w:t>
              </w:r>
            </w:hyperlink>
            <w:r w:rsidR="00F72C43" w:rsidRPr="00F72C43">
              <w:rPr>
                <w:rFonts w:ascii="Arial" w:eastAsia="Calibri" w:hAnsi="Arial" w:cs="Arial"/>
                <w:b w:val="0"/>
                <w:bCs w:val="0"/>
                <w:color w:val="auto"/>
                <w:sz w:val="14"/>
                <w:szCs w:val="14"/>
                <w:lang w:val="fr-FR"/>
              </w:rPr>
              <w:t xml:space="preserve"> relative au développement et à la structuration des relations École- entreprise. / </w:t>
            </w:r>
            <w:r w:rsidR="00F72C43" w:rsidRPr="00F72C43">
              <w:rPr>
                <w:rFonts w:ascii="Arial" w:eastAsia="Calibri" w:hAnsi="Arial" w:cs="Arial"/>
                <w:b w:val="0"/>
                <w:bCs w:val="0"/>
                <w:color w:val="0000FF"/>
                <w:sz w:val="14"/>
                <w:szCs w:val="14"/>
                <w:u w:val="single"/>
                <w:lang w:val="fr-FR"/>
              </w:rPr>
              <w:t xml:space="preserve">référentiel CFP Février 2023 / </w:t>
            </w:r>
            <w:hyperlink r:id="rId11" w:history="1">
              <w:r w:rsidR="00F72C43" w:rsidRPr="00F72C43">
                <w:rPr>
                  <w:rFonts w:ascii="Arial" w:eastAsia="Calibri" w:hAnsi="Arial" w:cs="Arial"/>
                  <w:b w:val="0"/>
                  <w:bCs w:val="0"/>
                  <w:color w:val="0000FF"/>
                  <w:sz w:val="14"/>
                  <w:szCs w:val="14"/>
                  <w:u w:val="single"/>
                  <w:lang w:val="fr-FR"/>
                </w:rPr>
                <w:t>Le référentiel de compétences des métiers du professorat et de l'éducation</w:t>
              </w:r>
            </w:hyperlink>
          </w:p>
        </w:tc>
        <w:tc>
          <w:tcPr>
            <w:tcW w:w="1228"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308" w:type="dxa"/>
            <w:gridSpan w:val="2"/>
            <w:tcBorders>
              <w:top w:val="nil"/>
              <w:left w:val="nil"/>
              <w:bottom w:val="nil"/>
              <w:right w:val="nil"/>
            </w:tcBorders>
            <w:shd w:val="clear" w:color="auto" w:fill="auto"/>
            <w:vAlign w:val="center"/>
          </w:tcPr>
          <w:p w14:paraId="70C5F499" w14:textId="77777777" w:rsidR="00FC266A" w:rsidRPr="00401CCB" w:rsidRDefault="00FC266A" w:rsidP="00A8758D">
            <w:pPr>
              <w:ind w:left="-627"/>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267890" w:rsidRPr="00401CCB" w14:paraId="1407D6CA" w14:textId="77777777" w:rsidTr="00C90183">
        <w:trPr>
          <w:gridAfter w:val="1"/>
          <w:wAfter w:w="161" w:type="dxa"/>
          <w:trHeight w:val="57"/>
        </w:trPr>
        <w:tc>
          <w:tcPr>
            <w:tcW w:w="2835"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411"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4139" w:type="dxa"/>
            <w:gridSpan w:val="2"/>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267890" w:rsidRPr="00401CCB" w14:paraId="07196ED3" w14:textId="77777777" w:rsidTr="00C90183">
        <w:trPr>
          <w:gridAfter w:val="1"/>
          <w:wAfter w:w="161" w:type="dxa"/>
          <w:trHeight w:hRule="exact" w:val="573"/>
        </w:trPr>
        <w:tc>
          <w:tcPr>
            <w:tcW w:w="2835"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411"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5DB72620"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4139"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4FCCA4C9"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5F3EF7" w:rsidRPr="00401CCB">
              <w:rPr>
                <w:rFonts w:ascii="Arial" w:hAnsi="Arial" w:cs="Arial"/>
                <w:color w:val="EE7444"/>
                <w:sz w:val="24"/>
                <w:szCs w:val="24"/>
              </w:rPr>
              <w:t>Évaluer</w:t>
            </w:r>
          </w:p>
        </w:tc>
      </w:tr>
      <w:tr w:rsidR="00267890" w:rsidRPr="00401CCB" w14:paraId="179E3F19" w14:textId="77777777" w:rsidTr="00C90183">
        <w:trPr>
          <w:gridAfter w:val="1"/>
          <w:wAfter w:w="161" w:type="dxa"/>
          <w:trHeight w:hRule="exact" w:val="7803"/>
        </w:trPr>
        <w:tc>
          <w:tcPr>
            <w:tcW w:w="2835"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F429C0">
            <w:pPr>
              <w:spacing w:before="60" w:after="120"/>
              <w:ind w:hanging="12"/>
              <w:rPr>
                <w:rFonts w:ascii="Arial" w:hAnsi="Arial" w:cs="Arial"/>
                <w:b/>
                <w:color w:val="951B81"/>
              </w:rPr>
            </w:pPr>
            <w:r w:rsidRPr="00401CCB">
              <w:rPr>
                <w:rFonts w:ascii="Arial" w:hAnsi="Arial" w:cs="Arial"/>
                <w:b/>
                <w:color w:val="951B81"/>
              </w:rPr>
              <w:t>Contexte, stratégie, sens, objectifs</w:t>
            </w:r>
          </w:p>
          <w:p w14:paraId="520B11BE"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Les relations partenariales de l’établissement avec le monde économique au bénéfice de l’insertion professionnelle des apprenants sont une priorité.</w:t>
            </w:r>
          </w:p>
          <w:p w14:paraId="0DB485A3"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 bureau des entreprises (BDE) est, le point d’entrée privilégié au sein de l’établissement pour les partenaires professionnels.</w:t>
            </w:r>
          </w:p>
          <w:p w14:paraId="617768FF"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 bureau des entreprises constitue un pôle physique et humain. Il fédère autour de ses missions l’ensemble de la communauté éducative.</w:t>
            </w:r>
          </w:p>
          <w:p w14:paraId="3D03F3FA"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Les acteurs du bureau des entreprises doivent donc être identifiés et leurs missions connues de tous.</w:t>
            </w:r>
          </w:p>
          <w:p w14:paraId="5BB38287" w14:textId="77777777" w:rsidR="00F429C0" w:rsidRPr="00F429C0" w:rsidRDefault="00F429C0" w:rsidP="00F429C0">
            <w:pPr>
              <w:tabs>
                <w:tab w:val="left" w:pos="2001"/>
              </w:tabs>
              <w:spacing w:after="120"/>
              <w:rPr>
                <w:rFonts w:ascii="Arial" w:eastAsia="Calibri" w:hAnsi="Arial" w:cs="Arial"/>
                <w:sz w:val="24"/>
                <w:szCs w:val="24"/>
                <w:lang w:eastAsia="en-US"/>
              </w:rPr>
            </w:pPr>
            <w:r w:rsidRPr="00F429C0">
              <w:rPr>
                <w:rFonts w:ascii="Arial" w:eastAsia="Calibri" w:hAnsi="Arial" w:cs="Arial"/>
                <w:sz w:val="18"/>
                <w:szCs w:val="18"/>
                <w:lang w:eastAsia="en-US"/>
              </w:rPr>
              <w:t>Cette fiche est destinée aux établissements pour favoriser la dynamique du bureau des entreprises, les interactions entre ses membres et l’évaluation de ses actions.</w:t>
            </w:r>
          </w:p>
          <w:p w14:paraId="537505FA" w14:textId="6B355BFE" w:rsidR="00FC266A" w:rsidRPr="0021040A" w:rsidRDefault="00FC266A" w:rsidP="00F429C0">
            <w:pPr>
              <w:widowControl w:val="0"/>
              <w:spacing w:after="100"/>
              <w:ind w:right="170"/>
              <w:rPr>
                <w:rFonts w:ascii="Calibri" w:eastAsia="MS Mincho" w:hAnsi="Calibri" w:cs="Calibri"/>
                <w:sz w:val="18"/>
                <w:szCs w:val="18"/>
              </w:rPr>
            </w:pP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411"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3743F1">
            <w:pPr>
              <w:widowControl w:val="0"/>
              <w:tabs>
                <w:tab w:val="left" w:pos="323"/>
              </w:tabs>
              <w:spacing w:before="60" w:after="120"/>
              <w:rPr>
                <w:rFonts w:ascii="Arial" w:hAnsi="Arial" w:cs="Arial"/>
                <w:b/>
                <w:color w:val="2AAC66"/>
              </w:rPr>
            </w:pPr>
            <w:r w:rsidRPr="00401CCB">
              <w:rPr>
                <w:rFonts w:ascii="Arial" w:hAnsi="Arial" w:cs="Arial"/>
                <w:b/>
                <w:color w:val="2AAC66"/>
              </w:rPr>
              <w:t>Acteurs – Actions – Mo</w:t>
            </w:r>
            <w:r w:rsidRPr="006D79C1">
              <w:rPr>
                <w:rFonts w:ascii="Arial" w:hAnsi="Arial" w:cs="Arial"/>
                <w:b/>
                <w:color w:val="2AAC66"/>
              </w:rPr>
              <w:t>yen</w:t>
            </w:r>
            <w:r w:rsidRPr="00401CCB">
              <w:rPr>
                <w:rFonts w:ascii="Arial" w:hAnsi="Arial" w:cs="Arial"/>
                <w:b/>
                <w:color w:val="2AAC66"/>
              </w:rPr>
              <w:t>s – Temps</w:t>
            </w:r>
          </w:p>
          <w:p w14:paraId="74E5AD14" w14:textId="655BFEE6" w:rsidR="006D79C1" w:rsidRPr="00C9374E" w:rsidRDefault="00C9374E" w:rsidP="006E09D1">
            <w:pPr>
              <w:widowControl w:val="0"/>
              <w:tabs>
                <w:tab w:val="left" w:pos="323"/>
              </w:tabs>
              <w:spacing w:after="60"/>
              <w:rPr>
                <w:rFonts w:ascii="Arial" w:hAnsi="Arial" w:cs="Arial"/>
                <w:b/>
                <w:bCs/>
                <w:color w:val="2AAC66"/>
                <w:sz w:val="18"/>
                <w:szCs w:val="18"/>
              </w:rPr>
            </w:pPr>
            <w:r w:rsidRPr="00C9374E">
              <w:rPr>
                <w:rFonts w:ascii="Arial" w:hAnsi="Arial" w:cs="Arial"/>
                <w:b/>
                <w:bCs/>
                <w:color w:val="2AAC66"/>
                <w:sz w:val="18"/>
                <w:szCs w:val="18"/>
              </w:rPr>
              <w:t xml:space="preserve">Pilotage </w:t>
            </w:r>
          </w:p>
          <w:p w14:paraId="25C633BD"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Le bureau des entreprises dispose-t-il d’une feuille de route annuelle clairement formalisée et partagée avec les acteurs concernés ?</w:t>
            </w:r>
          </w:p>
          <w:p w14:paraId="1398AE2D"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Comment la feuille de route s’articule-t-elle avec les priorités de l’établissement et les orientations académiques ?</w:t>
            </w:r>
          </w:p>
          <w:p w14:paraId="7BAB46C8"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Existe-t-il une lettre de mission pour le responsable du bureau des entreprises ?</w:t>
            </w:r>
          </w:p>
          <w:p w14:paraId="63BB252D" w14:textId="574D24EA"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Quelles modalités sont mises en place pour assurer la coordination entre le bureau des entreprises, les équipes pédagogiques, le DDFPT et les autres dispositifs (CFA, GRETA, CMQ</w:t>
            </w:r>
            <w:r>
              <w:rPr>
                <w:rFonts w:ascii="Arial" w:hAnsi="Arial" w:cs="Arial"/>
                <w:sz w:val="18"/>
                <w:szCs w:val="18"/>
              </w:rPr>
              <w:t>…</w:t>
            </w:r>
            <w:r w:rsidRPr="00C9374E">
              <w:rPr>
                <w:rFonts w:ascii="Arial" w:hAnsi="Arial" w:cs="Arial"/>
                <w:sz w:val="18"/>
                <w:szCs w:val="18"/>
              </w:rPr>
              <w:t>) ?</w:t>
            </w:r>
          </w:p>
          <w:p w14:paraId="241CE987"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Comment la cohérence des actions École–Entreprise est-elle vérifiée et valorisée au sein de l’établissement ?</w:t>
            </w:r>
          </w:p>
          <w:p w14:paraId="661FC496" w14:textId="447A0FB6" w:rsidR="00C9374E" w:rsidRPr="00C9374E" w:rsidRDefault="00C9374E" w:rsidP="00C9374E">
            <w:pPr>
              <w:widowControl w:val="0"/>
              <w:spacing w:before="120" w:after="60"/>
              <w:ind w:right="170"/>
              <w:jc w:val="both"/>
              <w:rPr>
                <w:rFonts w:ascii="Arial" w:hAnsi="Arial" w:cs="Arial"/>
                <w:b/>
                <w:bCs/>
                <w:color w:val="2AAC66"/>
                <w:sz w:val="18"/>
                <w:szCs w:val="18"/>
              </w:rPr>
            </w:pPr>
            <w:r w:rsidRPr="00C9374E">
              <w:rPr>
                <w:rFonts w:ascii="Arial" w:hAnsi="Arial" w:cs="Arial"/>
                <w:b/>
                <w:bCs/>
                <w:color w:val="2AAC66"/>
                <w:sz w:val="18"/>
                <w:szCs w:val="18"/>
              </w:rPr>
              <w:t>Acteurs internes du bureau des entreprises</w:t>
            </w:r>
          </w:p>
          <w:p w14:paraId="2ADE708E" w14:textId="5ACADB2F" w:rsidR="00C9374E" w:rsidRP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Quels sont les membres de la communauté éducative dont la contribution régulière est nécessaire à l’activité du bureau des entreprises ? Comment sont-ils identifiés au sein de l’établissement ? Quels sont les autres acteurs à associer occasionnellement ?</w:t>
            </w:r>
          </w:p>
          <w:p w14:paraId="2E28D0AC" w14:textId="3EC193C3" w:rsidR="00C9374E" w:rsidRP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Quelle est la répartition des missions définies dans la circulaire ? Qui sont les référents pour chacune d’entre elles ? Quel est le degré d’intervention des autres acteurs ?</w:t>
            </w:r>
          </w:p>
          <w:p w14:paraId="6FF833D3"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Comment et par qui sont coordonnées les activités du bureau des entreprises ?</w:t>
            </w:r>
          </w:p>
          <w:p w14:paraId="049C415C"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Comment le rôle de chacun est-il formalisé et explicité à l’ensemble de la communauté éducative ?</w:t>
            </w:r>
          </w:p>
          <w:p w14:paraId="636C1F61"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Quel plan d’accompagnement des acteurs du bureau des entreprises est proposé ? Comment, par qui et avec qui est-il développé ? Quels outils et dispositifs de formation sont identifiés et mobilisés ?</w:t>
            </w:r>
          </w:p>
          <w:p w14:paraId="08931DE8" w14:textId="1A9EE77E" w:rsidR="00C9374E" w:rsidRPr="00C9374E" w:rsidRDefault="00C9374E" w:rsidP="00C9374E">
            <w:pPr>
              <w:widowControl w:val="0"/>
              <w:spacing w:before="120" w:after="60"/>
              <w:ind w:right="170"/>
              <w:jc w:val="both"/>
              <w:rPr>
                <w:rFonts w:ascii="Arial" w:hAnsi="Arial" w:cs="Arial"/>
                <w:b/>
                <w:bCs/>
                <w:color w:val="2AAC66"/>
                <w:sz w:val="18"/>
                <w:szCs w:val="18"/>
              </w:rPr>
            </w:pPr>
            <w:r w:rsidRPr="00C9374E">
              <w:rPr>
                <w:rFonts w:ascii="Arial" w:hAnsi="Arial" w:cs="Arial"/>
                <w:b/>
                <w:bCs/>
                <w:color w:val="2AAC66"/>
                <w:sz w:val="18"/>
                <w:szCs w:val="18"/>
              </w:rPr>
              <w:t>Matérialisation du bureau des entreprises (à l’interne et à l’externe)</w:t>
            </w:r>
          </w:p>
          <w:p w14:paraId="31A8A75F" w14:textId="5779C3E5" w:rsidR="00C9374E" w:rsidRP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 xml:space="preserve">Comment l’implantation de bureau des entreprises a-t-elle été pensée, en termes d’accessibilité à tous et d’aménagement de l’espace ? Comment est-il matérialisé, quelle signalétique est mise en place ? </w:t>
            </w:r>
          </w:p>
          <w:p w14:paraId="37132AB2" w14:textId="77777777" w:rsid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 xml:space="preserve">Est-il clairement identifié par tous (apprenants, enseignants, formateurs, partenaires externes, …) ? Est-il facilement accessible pour tous ? </w:t>
            </w:r>
          </w:p>
          <w:p w14:paraId="2EDC77AC" w14:textId="3D5C136C" w:rsidR="00C9374E" w:rsidRPr="00C9374E" w:rsidRDefault="00C9374E" w:rsidP="00C9374E">
            <w:pPr>
              <w:pStyle w:val="Paragraphedeliste"/>
              <w:widowControl w:val="0"/>
              <w:numPr>
                <w:ilvl w:val="0"/>
                <w:numId w:val="9"/>
              </w:numPr>
              <w:tabs>
                <w:tab w:val="left" w:pos="323"/>
              </w:tabs>
              <w:ind w:left="219" w:hanging="219"/>
              <w:rPr>
                <w:rFonts w:ascii="Arial" w:hAnsi="Arial" w:cs="Arial"/>
                <w:sz w:val="18"/>
                <w:szCs w:val="18"/>
              </w:rPr>
            </w:pPr>
            <w:r w:rsidRPr="00C9374E">
              <w:rPr>
                <w:rFonts w:ascii="Arial" w:hAnsi="Arial" w:cs="Arial"/>
                <w:sz w:val="18"/>
                <w:szCs w:val="18"/>
              </w:rPr>
              <w:t>Par quels circuits les sollicitations internes et externes arrivent-elles au bureau des entreprises ? Dans quelle mesure permettent-ils la fluidité des transmissions ?</w:t>
            </w:r>
          </w:p>
          <w:p w14:paraId="24F28F28" w14:textId="77777777" w:rsidR="00C9374E" w:rsidRDefault="00C9374E" w:rsidP="00C9374E">
            <w:pPr>
              <w:widowControl w:val="0"/>
              <w:tabs>
                <w:tab w:val="left" w:pos="323"/>
              </w:tabs>
              <w:rPr>
                <w:rFonts w:ascii="Arial" w:hAnsi="Arial" w:cs="Arial"/>
                <w:sz w:val="18"/>
                <w:szCs w:val="18"/>
              </w:rPr>
            </w:pPr>
          </w:p>
          <w:p w14:paraId="556D56CA" w14:textId="1F538FAA" w:rsidR="00C9374E" w:rsidRPr="00C9374E" w:rsidRDefault="00C9374E" w:rsidP="00C9374E">
            <w:pPr>
              <w:widowControl w:val="0"/>
              <w:ind w:right="172"/>
              <w:jc w:val="both"/>
              <w:rPr>
                <w:rFonts w:ascii="Arial" w:hAnsi="Arial" w:cs="Arial"/>
                <w:sz w:val="18"/>
                <w:szCs w:val="18"/>
              </w:rPr>
            </w:pP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4139" w:type="dxa"/>
            <w:gridSpan w:val="2"/>
            <w:tcBorders>
              <w:top w:val="single" w:sz="24" w:space="0" w:color="EE7444"/>
              <w:left w:val="single" w:sz="24" w:space="0" w:color="EE7444"/>
              <w:bottom w:val="single" w:sz="24" w:space="0" w:color="EE7444"/>
              <w:right w:val="single" w:sz="24" w:space="0" w:color="EE7444"/>
            </w:tcBorders>
          </w:tcPr>
          <w:p w14:paraId="3C5CA21A" w14:textId="52CD0F63" w:rsidR="004B73D9" w:rsidRPr="00240518" w:rsidRDefault="004B73D9" w:rsidP="00240518">
            <w:pPr>
              <w:spacing w:before="60" w:after="120"/>
              <w:rPr>
                <w:rFonts w:ascii="Arial" w:hAnsi="Arial" w:cs="Arial"/>
                <w:b/>
                <w:color w:val="EE7444"/>
              </w:rPr>
            </w:pPr>
            <w:r w:rsidRPr="00401CCB">
              <w:rPr>
                <w:rFonts w:ascii="Arial" w:hAnsi="Arial" w:cs="Arial"/>
                <w:b/>
                <w:color w:val="EE7444"/>
              </w:rPr>
              <w:t>Exemples d’indicateurs de suivi</w:t>
            </w:r>
            <w:r w:rsidRPr="00401CCB">
              <w:rPr>
                <w:rFonts w:ascii="Arial" w:hAnsi="Arial" w:cs="Arial"/>
                <w:color w:val="EE7444"/>
              </w:rPr>
              <w:t xml:space="preserve"> </w:t>
            </w:r>
          </w:p>
          <w:p w14:paraId="232011D5" w14:textId="77777777" w:rsidR="00240518" w:rsidRPr="000C3ED9" w:rsidRDefault="00240518" w:rsidP="00240518">
            <w:pPr>
              <w:widowControl w:val="0"/>
              <w:spacing w:after="60"/>
              <w:ind w:right="23"/>
              <w:rPr>
                <w:rFonts w:ascii="Arial" w:hAnsi="Arial" w:cs="Arial"/>
                <w:sz w:val="18"/>
                <w:szCs w:val="18"/>
              </w:rPr>
            </w:pPr>
            <w:r w:rsidRPr="000C3ED9">
              <w:rPr>
                <w:rFonts w:ascii="Arial" w:hAnsi="Arial" w:cs="Arial"/>
                <w:sz w:val="18"/>
                <w:szCs w:val="18"/>
              </w:rPr>
              <w:t>L’équipe est constituée et identifiée</w:t>
            </w:r>
          </w:p>
          <w:p w14:paraId="2058D2AD" w14:textId="77777777" w:rsidR="00240518" w:rsidRPr="000C3ED9" w:rsidRDefault="00240518" w:rsidP="00240518">
            <w:pPr>
              <w:widowControl w:val="0"/>
              <w:spacing w:after="60"/>
              <w:ind w:right="23"/>
              <w:rPr>
                <w:rFonts w:ascii="Arial" w:hAnsi="Arial" w:cs="Arial"/>
                <w:sz w:val="18"/>
                <w:szCs w:val="18"/>
              </w:rPr>
            </w:pPr>
            <w:r w:rsidRPr="000C3ED9">
              <w:rPr>
                <w:rFonts w:ascii="Arial" w:hAnsi="Arial" w:cs="Arial"/>
                <w:sz w:val="18"/>
                <w:szCs w:val="18"/>
              </w:rPr>
              <w:t>Existence de lettres de mission, tableau de répartition, temps de présentation de l’organisation et des missions du BDE</w:t>
            </w:r>
          </w:p>
          <w:p w14:paraId="0A96F677" w14:textId="77777777" w:rsidR="00240518" w:rsidRPr="000C3ED9" w:rsidRDefault="00240518" w:rsidP="00240518">
            <w:pPr>
              <w:widowControl w:val="0"/>
              <w:spacing w:after="60"/>
              <w:ind w:right="23"/>
              <w:rPr>
                <w:rFonts w:ascii="Arial" w:hAnsi="Arial" w:cs="Arial"/>
                <w:color w:val="00B050"/>
                <w:sz w:val="18"/>
                <w:szCs w:val="18"/>
              </w:rPr>
            </w:pPr>
            <w:r w:rsidRPr="000C3ED9">
              <w:rPr>
                <w:rFonts w:ascii="Arial" w:hAnsi="Arial" w:cs="Arial"/>
                <w:sz w:val="18"/>
                <w:szCs w:val="18"/>
              </w:rPr>
              <w:t xml:space="preserve">Existence d’un guide de fonctionnement du </w:t>
            </w:r>
            <w:r>
              <w:rPr>
                <w:rFonts w:ascii="Arial" w:hAnsi="Arial" w:cs="Arial"/>
                <w:sz w:val="18"/>
                <w:szCs w:val="18"/>
              </w:rPr>
              <w:t>BDE</w:t>
            </w:r>
            <w:r w:rsidRPr="000C3ED9">
              <w:rPr>
                <w:rFonts w:ascii="Arial" w:hAnsi="Arial" w:cs="Arial"/>
                <w:sz w:val="18"/>
                <w:szCs w:val="18"/>
              </w:rPr>
              <w:t xml:space="preserve"> </w:t>
            </w:r>
          </w:p>
          <w:p w14:paraId="5C79EEDF" w14:textId="77777777" w:rsidR="00240518" w:rsidRPr="000C3ED9" w:rsidRDefault="00240518" w:rsidP="00240518">
            <w:pPr>
              <w:widowControl w:val="0"/>
              <w:spacing w:after="60"/>
              <w:ind w:right="23"/>
              <w:rPr>
                <w:rFonts w:ascii="Arial" w:hAnsi="Arial" w:cs="Arial"/>
                <w:sz w:val="18"/>
                <w:szCs w:val="18"/>
              </w:rPr>
            </w:pPr>
            <w:r w:rsidRPr="000C3ED9">
              <w:rPr>
                <w:rFonts w:ascii="Arial" w:hAnsi="Arial" w:cs="Arial"/>
                <w:sz w:val="18"/>
                <w:szCs w:val="18"/>
              </w:rPr>
              <w:t>Taux de personnels qui contribuent régulièrement à l’activité du BDE. Taux de personnels qui contribuent occasionnellement.</w:t>
            </w:r>
          </w:p>
          <w:p w14:paraId="4CCDD154" w14:textId="77777777" w:rsidR="00240518" w:rsidRPr="000C3ED9" w:rsidRDefault="00240518" w:rsidP="00240518">
            <w:pPr>
              <w:widowControl w:val="0"/>
              <w:spacing w:after="60"/>
              <w:ind w:right="23"/>
              <w:rPr>
                <w:rFonts w:ascii="Arial" w:hAnsi="Arial" w:cs="Arial"/>
                <w:sz w:val="18"/>
                <w:szCs w:val="18"/>
              </w:rPr>
            </w:pPr>
            <w:r w:rsidRPr="000C3ED9">
              <w:rPr>
                <w:rFonts w:ascii="Arial" w:hAnsi="Arial" w:cs="Arial"/>
                <w:sz w:val="18"/>
                <w:szCs w:val="18"/>
              </w:rPr>
              <w:t xml:space="preserve">Taux de renouvellement des pilotes et contributeurs réguliers du BDE </w:t>
            </w:r>
          </w:p>
          <w:p w14:paraId="0EE46813" w14:textId="77777777" w:rsidR="00240518" w:rsidRPr="000C3ED9" w:rsidRDefault="00240518" w:rsidP="00240518">
            <w:pPr>
              <w:widowControl w:val="0"/>
              <w:spacing w:after="60"/>
              <w:ind w:right="23"/>
              <w:rPr>
                <w:rFonts w:ascii="Arial" w:hAnsi="Arial" w:cs="Arial"/>
                <w:sz w:val="18"/>
                <w:szCs w:val="18"/>
              </w:rPr>
            </w:pPr>
            <w:r w:rsidRPr="000C3ED9">
              <w:rPr>
                <w:rFonts w:ascii="Arial" w:hAnsi="Arial" w:cs="Arial"/>
                <w:sz w:val="18"/>
                <w:szCs w:val="18"/>
              </w:rPr>
              <w:t>Nombre de formations proposées et nombre de formations suivies.</w:t>
            </w:r>
          </w:p>
          <w:p w14:paraId="27482EB1" w14:textId="592CB86B" w:rsidR="00240518" w:rsidRPr="00240518" w:rsidRDefault="00240518" w:rsidP="00240518">
            <w:pPr>
              <w:widowControl w:val="0"/>
              <w:spacing w:after="60"/>
              <w:ind w:right="23"/>
              <w:rPr>
                <w:rFonts w:ascii="Arial" w:hAnsi="Arial" w:cs="Arial"/>
                <w:sz w:val="18"/>
                <w:szCs w:val="18"/>
              </w:rPr>
            </w:pPr>
            <w:r w:rsidRPr="000C3ED9">
              <w:rPr>
                <w:rFonts w:ascii="Arial" w:hAnsi="Arial" w:cs="Arial"/>
                <w:sz w:val="18"/>
                <w:szCs w:val="18"/>
              </w:rPr>
              <w:t>Nombre d’initiatives engagées, d’actions déployées suite aux formations et échanges entre pairs.</w:t>
            </w:r>
          </w:p>
          <w:p w14:paraId="1733F360" w14:textId="77777777" w:rsidR="00240518" w:rsidRPr="000C3ED9" w:rsidRDefault="00240518" w:rsidP="00240518">
            <w:pPr>
              <w:widowControl w:val="0"/>
              <w:tabs>
                <w:tab w:val="left" w:pos="323"/>
              </w:tabs>
              <w:spacing w:afterLines="60" w:after="144"/>
              <w:ind w:right="23"/>
              <w:rPr>
                <w:rFonts w:ascii="Arial" w:hAnsi="Arial" w:cs="Arial"/>
                <w:sz w:val="18"/>
                <w:szCs w:val="18"/>
              </w:rPr>
            </w:pPr>
            <w:r w:rsidRPr="000C3ED9">
              <w:rPr>
                <w:rFonts w:ascii="Arial" w:hAnsi="Arial" w:cs="Arial"/>
                <w:sz w:val="18"/>
                <w:szCs w:val="18"/>
              </w:rPr>
              <w:t>Existence d’une signalétique</w:t>
            </w:r>
          </w:p>
          <w:p w14:paraId="3F0C70C2" w14:textId="77777777" w:rsidR="00240518" w:rsidRPr="000C3ED9" w:rsidRDefault="00240518" w:rsidP="00240518">
            <w:pPr>
              <w:widowControl w:val="0"/>
              <w:tabs>
                <w:tab w:val="left" w:pos="323"/>
              </w:tabs>
              <w:spacing w:afterLines="60" w:after="144"/>
              <w:ind w:right="23"/>
              <w:rPr>
                <w:rFonts w:ascii="Arial" w:hAnsi="Arial" w:cs="Arial"/>
                <w:sz w:val="18"/>
                <w:szCs w:val="18"/>
              </w:rPr>
            </w:pPr>
            <w:r w:rsidRPr="000C3ED9">
              <w:rPr>
                <w:rFonts w:ascii="Arial" w:hAnsi="Arial" w:cs="Arial"/>
                <w:sz w:val="18"/>
                <w:szCs w:val="18"/>
              </w:rPr>
              <w:t>Existence d’une procédure de transmission des sollicitations</w:t>
            </w:r>
          </w:p>
          <w:p w14:paraId="5B4E95DF" w14:textId="77777777" w:rsidR="00240518" w:rsidRPr="000C3ED9" w:rsidRDefault="00240518" w:rsidP="00240518">
            <w:pPr>
              <w:widowControl w:val="0"/>
              <w:tabs>
                <w:tab w:val="left" w:pos="323"/>
              </w:tabs>
              <w:spacing w:afterLines="60" w:after="144"/>
              <w:ind w:right="23"/>
              <w:rPr>
                <w:rFonts w:ascii="Arial" w:hAnsi="Arial" w:cs="Arial"/>
                <w:sz w:val="18"/>
                <w:szCs w:val="18"/>
              </w:rPr>
            </w:pPr>
            <w:r w:rsidRPr="000C3ED9">
              <w:rPr>
                <w:rFonts w:ascii="Arial" w:hAnsi="Arial" w:cs="Arial"/>
                <w:sz w:val="18"/>
                <w:szCs w:val="18"/>
              </w:rPr>
              <w:t xml:space="preserve">Existence d’outils de mesure de la facilité d’accès au pôle </w:t>
            </w:r>
            <w:r>
              <w:rPr>
                <w:rFonts w:ascii="Arial" w:hAnsi="Arial" w:cs="Arial"/>
                <w:sz w:val="18"/>
                <w:szCs w:val="18"/>
              </w:rPr>
              <w:t>BDE</w:t>
            </w:r>
            <w:r w:rsidRPr="000C3ED9">
              <w:rPr>
                <w:rFonts w:ascii="Arial" w:hAnsi="Arial" w:cs="Arial"/>
                <w:sz w:val="18"/>
                <w:szCs w:val="18"/>
              </w:rPr>
              <w:t xml:space="preserve"> (rubrique enquêtes de satisfaction, enquêtes ponctuelles dédiées…)</w:t>
            </w:r>
          </w:p>
          <w:p w14:paraId="496DE2AF" w14:textId="22EAACF5" w:rsidR="00BE65D0" w:rsidRPr="00240518" w:rsidRDefault="00240518" w:rsidP="00240518">
            <w:pPr>
              <w:widowControl w:val="0"/>
              <w:tabs>
                <w:tab w:val="left" w:pos="323"/>
              </w:tabs>
              <w:spacing w:afterLines="60" w:after="144"/>
              <w:ind w:right="23"/>
              <w:rPr>
                <w:rFonts w:ascii="Arial" w:hAnsi="Arial" w:cs="Arial"/>
                <w:sz w:val="18"/>
                <w:szCs w:val="18"/>
              </w:rPr>
            </w:pPr>
            <w:r w:rsidRPr="000C3ED9">
              <w:rPr>
                <w:rFonts w:ascii="Arial" w:hAnsi="Arial" w:cs="Arial"/>
                <w:sz w:val="18"/>
                <w:szCs w:val="18"/>
              </w:rPr>
              <w:t xml:space="preserve">Nombre de difficultés remontées  </w:t>
            </w:r>
          </w:p>
        </w:tc>
      </w:tr>
    </w:tbl>
    <w:p w14:paraId="69E3A0D6" w14:textId="77777777" w:rsidR="00AC414F" w:rsidRPr="00401CCB" w:rsidRDefault="00AC414F" w:rsidP="00AC414F"/>
    <w:tbl>
      <w:tblPr>
        <w:tblStyle w:val="Grilledutableau2"/>
        <w:tblW w:w="16019" w:type="dxa"/>
        <w:tblInd w:w="-732" w:type="dxa"/>
        <w:tblLook w:val="04A0" w:firstRow="1" w:lastRow="0" w:firstColumn="1" w:lastColumn="0" w:noHBand="0" w:noVBand="1"/>
      </w:tblPr>
      <w:tblGrid>
        <w:gridCol w:w="3351"/>
        <w:gridCol w:w="274"/>
        <w:gridCol w:w="7857"/>
        <w:gridCol w:w="236"/>
        <w:gridCol w:w="1140"/>
        <w:gridCol w:w="2999"/>
        <w:gridCol w:w="162"/>
      </w:tblGrid>
      <w:tr w:rsidR="00BE65D0" w:rsidRPr="00401CCB" w14:paraId="3F452AEE" w14:textId="77777777" w:rsidTr="00C90183">
        <w:trPr>
          <w:trHeight w:hRule="exact" w:val="1134"/>
        </w:trPr>
        <w:tc>
          <w:tcPr>
            <w:tcW w:w="11482"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4688A525" w14:textId="43E425AB" w:rsidR="00496A06" w:rsidRDefault="00496A06" w:rsidP="00496A06">
            <w:pPr>
              <w:pStyle w:val="Titre2"/>
              <w:numPr>
                <w:ilvl w:val="0"/>
                <w:numId w:val="0"/>
              </w:numPr>
              <w:rPr>
                <w:rFonts w:ascii="Arial" w:hAnsi="Arial" w:cs="Arial"/>
                <w:sz w:val="30"/>
                <w:szCs w:val="30"/>
                <w:lang w:val="fr-FR"/>
              </w:rPr>
            </w:pPr>
            <w:bookmarkStart w:id="1" w:name="_Hlk216450969"/>
            <w:r w:rsidRPr="005F3EF7">
              <w:rPr>
                <w:rFonts w:ascii="Arial" w:hAnsi="Arial" w:cs="Arial"/>
                <w:sz w:val="30"/>
                <w:szCs w:val="30"/>
                <w:lang w:val="fr-FR"/>
              </w:rPr>
              <w:lastRenderedPageBreak/>
              <w:t>2.1</w:t>
            </w:r>
            <w:r w:rsidR="00EA060D">
              <w:rPr>
                <w:rFonts w:ascii="Arial" w:hAnsi="Arial" w:cs="Arial"/>
                <w:sz w:val="30"/>
                <w:szCs w:val="30"/>
                <w:lang w:val="fr-FR"/>
              </w:rPr>
              <w:t>3</w:t>
            </w:r>
            <w:r w:rsidRPr="005F3EF7">
              <w:rPr>
                <w:rFonts w:ascii="Arial" w:hAnsi="Arial" w:cs="Arial"/>
                <w:sz w:val="30"/>
                <w:szCs w:val="30"/>
                <w:lang w:val="fr-FR"/>
              </w:rPr>
              <w:t xml:space="preserve"> </w:t>
            </w:r>
            <w:r w:rsidR="00F72C43" w:rsidRPr="00F72C43">
              <w:rPr>
                <w:rFonts w:ascii="Arial" w:hAnsi="Arial" w:cs="Arial"/>
                <w:sz w:val="30"/>
                <w:szCs w:val="30"/>
                <w:lang w:val="fr-FR"/>
              </w:rPr>
              <w:t xml:space="preserve">Professionnaliser les acteurs du bureau des entreprises </w:t>
            </w:r>
            <w:r w:rsidRPr="005F3EF7">
              <w:rPr>
                <w:rFonts w:ascii="Arial" w:hAnsi="Arial" w:cs="Arial"/>
                <w:sz w:val="30"/>
                <w:szCs w:val="30"/>
                <w:lang w:val="fr-FR"/>
              </w:rPr>
              <w:t>(</w:t>
            </w:r>
            <w:r>
              <w:rPr>
                <w:rFonts w:ascii="Arial" w:hAnsi="Arial" w:cs="Arial"/>
                <w:sz w:val="30"/>
                <w:szCs w:val="30"/>
                <w:lang w:val="fr-FR"/>
              </w:rPr>
              <w:t>2</w:t>
            </w:r>
            <w:r w:rsidR="00A778CE">
              <w:rPr>
                <w:rFonts w:ascii="Arial" w:hAnsi="Arial" w:cs="Arial"/>
                <w:sz w:val="30"/>
                <w:szCs w:val="30"/>
                <w:lang w:val="fr-FR"/>
              </w:rPr>
              <w:t>/</w:t>
            </w:r>
            <w:r w:rsidR="00F72C43">
              <w:rPr>
                <w:rFonts w:ascii="Arial" w:hAnsi="Arial" w:cs="Arial"/>
                <w:sz w:val="30"/>
                <w:szCs w:val="30"/>
                <w:lang w:val="fr-FR"/>
              </w:rPr>
              <w:t>2</w:t>
            </w:r>
            <w:r w:rsidRPr="005F3EF7">
              <w:rPr>
                <w:rFonts w:ascii="Arial" w:hAnsi="Arial" w:cs="Arial"/>
                <w:sz w:val="30"/>
                <w:szCs w:val="30"/>
                <w:lang w:val="fr-FR"/>
              </w:rPr>
              <w:t>)</w:t>
            </w:r>
          </w:p>
          <w:p w14:paraId="2F3CE883" w14:textId="7F23B947" w:rsidR="00BE65D0" w:rsidRPr="00401CCB" w:rsidRDefault="003F2C41" w:rsidP="00240518">
            <w:pPr>
              <w:pStyle w:val="Titre2"/>
              <w:numPr>
                <w:ilvl w:val="0"/>
                <w:numId w:val="0"/>
              </w:numPr>
              <w:spacing w:before="0"/>
              <w:rPr>
                <w:rFonts w:asciiTheme="minorHAnsi" w:eastAsia="Calibri" w:hAnsiTheme="minorHAnsi"/>
                <w:lang w:val="fr-FR"/>
              </w:rPr>
            </w:pPr>
            <w:hyperlink r:id="rId13" w:history="1">
              <w:r w:rsidR="00F72C43" w:rsidRPr="00F72C43">
                <w:rPr>
                  <w:rFonts w:ascii="Arial" w:eastAsia="Calibri" w:hAnsi="Arial" w:cs="Arial"/>
                  <w:b w:val="0"/>
                  <w:bCs w:val="0"/>
                  <w:color w:val="0000FF"/>
                  <w:sz w:val="14"/>
                  <w:szCs w:val="14"/>
                  <w:u w:val="single"/>
                  <w:lang w:val="fr-FR"/>
                </w:rPr>
                <w:t>Circulaire du 24 mai 2023</w:t>
              </w:r>
            </w:hyperlink>
            <w:r w:rsidR="00F72C43" w:rsidRPr="00F72C43">
              <w:rPr>
                <w:rFonts w:ascii="Arial" w:eastAsia="Calibri" w:hAnsi="Arial" w:cs="Arial"/>
                <w:b w:val="0"/>
                <w:bCs w:val="0"/>
                <w:color w:val="auto"/>
                <w:sz w:val="14"/>
                <w:szCs w:val="14"/>
                <w:lang w:val="fr-FR"/>
              </w:rPr>
              <w:t xml:space="preserve"> : Ouverture, à la rentrée scolaire 2023, d’un bureau des entreprises dans chaque lycée public professionnel et polyvalent avec section d’enseignement professionnel / </w:t>
            </w:r>
            <w:hyperlink r:id="rId14" w:history="1">
              <w:r w:rsidR="00F72C43" w:rsidRPr="00F72C43">
                <w:rPr>
                  <w:rFonts w:ascii="Arial" w:eastAsia="Calibri" w:hAnsi="Arial" w:cs="Arial"/>
                  <w:b w:val="0"/>
                  <w:bCs w:val="0"/>
                  <w:color w:val="0000FF"/>
                  <w:sz w:val="14"/>
                  <w:szCs w:val="14"/>
                  <w:u w:val="single"/>
                  <w:lang w:val="fr-FR"/>
                </w:rPr>
                <w:t>Circulaire n° 2016-137 du 11-10-2016 </w:t>
              </w:r>
            </w:hyperlink>
            <w:r w:rsidR="00F72C43" w:rsidRPr="00F72C43">
              <w:rPr>
                <w:rFonts w:ascii="Arial" w:eastAsia="Calibri" w:hAnsi="Arial" w:cs="Arial"/>
                <w:b w:val="0"/>
                <w:bCs w:val="0"/>
                <w:color w:val="auto"/>
                <w:sz w:val="14"/>
                <w:szCs w:val="14"/>
                <w:lang w:val="fr-FR"/>
              </w:rPr>
              <w:t xml:space="preserve">: Missions des directeurs délégués aux formations professionnelles et technologiques / </w:t>
            </w:r>
            <w:hyperlink r:id="rId15" w:history="1">
              <w:r w:rsidR="00F72C43" w:rsidRPr="00F72C43">
                <w:rPr>
                  <w:rFonts w:ascii="Arial" w:eastAsia="Calibri" w:hAnsi="Arial" w:cs="Arial"/>
                  <w:b w:val="0"/>
                  <w:bCs w:val="0"/>
                  <w:color w:val="0000FF"/>
                  <w:sz w:val="14"/>
                  <w:szCs w:val="14"/>
                  <w:u w:val="single"/>
                  <w:lang w:val="fr-FR"/>
                </w:rPr>
                <w:t>Circulaire n° 2016-183 du 22-11-2016</w:t>
              </w:r>
            </w:hyperlink>
            <w:r w:rsidR="00F72C43" w:rsidRPr="00F72C43">
              <w:rPr>
                <w:rFonts w:ascii="Arial" w:eastAsia="Calibri" w:hAnsi="Arial" w:cs="Arial"/>
                <w:b w:val="0"/>
                <w:bCs w:val="0"/>
                <w:color w:val="auto"/>
                <w:sz w:val="14"/>
                <w:szCs w:val="14"/>
                <w:lang w:val="fr-FR"/>
              </w:rPr>
              <w:t xml:space="preserve"> relative au développement et à la structuration des relations École- entreprise. / </w:t>
            </w:r>
            <w:r w:rsidR="00F72C43" w:rsidRPr="00F72C43">
              <w:rPr>
                <w:rFonts w:ascii="Arial" w:eastAsia="Calibri" w:hAnsi="Arial" w:cs="Arial"/>
                <w:b w:val="0"/>
                <w:bCs w:val="0"/>
                <w:color w:val="0000FF"/>
                <w:sz w:val="14"/>
                <w:szCs w:val="14"/>
                <w:u w:val="single"/>
                <w:lang w:val="fr-FR"/>
              </w:rPr>
              <w:t xml:space="preserve">référentiel CFP Février 2023 / </w:t>
            </w:r>
            <w:hyperlink r:id="rId16" w:history="1">
              <w:r w:rsidR="00F72C43" w:rsidRPr="00F72C43">
                <w:rPr>
                  <w:rFonts w:ascii="Arial" w:eastAsia="Calibri" w:hAnsi="Arial" w:cs="Arial"/>
                  <w:b w:val="0"/>
                  <w:bCs w:val="0"/>
                  <w:color w:val="0000FF"/>
                  <w:sz w:val="14"/>
                  <w:szCs w:val="14"/>
                  <w:u w:val="single"/>
                  <w:lang w:val="fr-FR"/>
                </w:rPr>
                <w:t>Le référentiel de compétences des métiers du professorat et de l'éducation</w:t>
              </w:r>
            </w:hyperlink>
          </w:p>
        </w:tc>
        <w:tc>
          <w:tcPr>
            <w:tcW w:w="1376" w:type="dxa"/>
            <w:gridSpan w:val="2"/>
            <w:tcBorders>
              <w:top w:val="nil"/>
              <w:left w:val="single" w:sz="18" w:space="0" w:color="00B5C6"/>
              <w:bottom w:val="nil"/>
              <w:right w:val="nil"/>
            </w:tcBorders>
            <w:shd w:val="clear" w:color="auto" w:fill="auto"/>
          </w:tcPr>
          <w:p w14:paraId="4EB0C454" w14:textId="77777777" w:rsidR="00BE65D0" w:rsidRPr="00401CCB" w:rsidRDefault="00BE65D0" w:rsidP="00D9032F">
            <w:pPr>
              <w:rPr>
                <w:rFonts w:asciiTheme="minorHAnsi" w:hAnsiTheme="minorHAnsi"/>
                <w:sz w:val="17"/>
                <w:szCs w:val="17"/>
              </w:rPr>
            </w:pPr>
          </w:p>
        </w:tc>
        <w:tc>
          <w:tcPr>
            <w:tcW w:w="3161" w:type="dxa"/>
            <w:gridSpan w:val="2"/>
            <w:tcBorders>
              <w:top w:val="nil"/>
              <w:left w:val="nil"/>
              <w:bottom w:val="nil"/>
              <w:right w:val="nil"/>
            </w:tcBorders>
            <w:shd w:val="clear" w:color="auto" w:fill="auto"/>
            <w:vAlign w:val="center"/>
          </w:tcPr>
          <w:p w14:paraId="6E68A314" w14:textId="77777777" w:rsidR="00BE65D0" w:rsidRPr="00401CCB" w:rsidRDefault="00BE65D0" w:rsidP="00A8758D">
            <w:pPr>
              <w:ind w:left="-635"/>
              <w:jc w:val="center"/>
              <w:rPr>
                <w:rFonts w:asciiTheme="minorHAnsi" w:hAnsiTheme="minorHAnsi"/>
                <w:b/>
                <w:color w:val="FFFFFF"/>
                <w:sz w:val="24"/>
                <w:szCs w:val="24"/>
              </w:rPr>
            </w:pPr>
            <w:r w:rsidRPr="00401CCB">
              <w:rPr>
                <w:noProof/>
                <w:lang w:eastAsia="fr-FR"/>
              </w:rPr>
              <w:drawing>
                <wp:inline distT="0" distB="0" distL="0" distR="0" wp14:anchorId="0EC89ECE" wp14:editId="418105A6">
                  <wp:extent cx="1438275" cy="571502"/>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BE65D0" w:rsidRPr="00401CCB" w14:paraId="40198529" w14:textId="77777777" w:rsidTr="00C90183">
        <w:trPr>
          <w:gridAfter w:val="1"/>
          <w:wAfter w:w="162" w:type="dxa"/>
          <w:trHeight w:val="57"/>
        </w:trPr>
        <w:tc>
          <w:tcPr>
            <w:tcW w:w="3351" w:type="dxa"/>
            <w:tcBorders>
              <w:top w:val="nil"/>
              <w:left w:val="nil"/>
              <w:bottom w:val="single" w:sz="24" w:space="0" w:color="951B81"/>
              <w:right w:val="nil"/>
            </w:tcBorders>
            <w:shd w:val="clear" w:color="auto" w:fill="auto"/>
          </w:tcPr>
          <w:p w14:paraId="5B8CBF41" w14:textId="77777777" w:rsidR="00BE65D0" w:rsidRPr="00401CCB" w:rsidRDefault="00BE65D0" w:rsidP="00D9032F">
            <w:pPr>
              <w:rPr>
                <w:rFonts w:asciiTheme="minorHAnsi" w:hAnsiTheme="minorHAnsi"/>
                <w:b/>
                <w:color w:val="FFFFFF"/>
                <w:sz w:val="8"/>
                <w:szCs w:val="8"/>
              </w:rPr>
            </w:pPr>
          </w:p>
        </w:tc>
        <w:tc>
          <w:tcPr>
            <w:tcW w:w="274" w:type="dxa"/>
            <w:tcBorders>
              <w:top w:val="nil"/>
              <w:left w:val="nil"/>
              <w:bottom w:val="nil"/>
              <w:right w:val="nil"/>
            </w:tcBorders>
            <w:shd w:val="clear" w:color="auto" w:fill="auto"/>
          </w:tcPr>
          <w:p w14:paraId="419215CD" w14:textId="77777777" w:rsidR="00BE65D0" w:rsidRPr="00401CCB" w:rsidRDefault="00BE65D0" w:rsidP="00D9032F">
            <w:pPr>
              <w:rPr>
                <w:rFonts w:asciiTheme="minorHAnsi" w:hAnsiTheme="minorHAnsi"/>
                <w:sz w:val="8"/>
                <w:szCs w:val="8"/>
              </w:rPr>
            </w:pPr>
          </w:p>
        </w:tc>
        <w:tc>
          <w:tcPr>
            <w:tcW w:w="7857" w:type="dxa"/>
            <w:tcBorders>
              <w:top w:val="nil"/>
              <w:left w:val="nil"/>
              <w:bottom w:val="single" w:sz="24" w:space="0" w:color="2AAC66"/>
              <w:right w:val="nil"/>
            </w:tcBorders>
            <w:shd w:val="clear" w:color="auto" w:fill="auto"/>
          </w:tcPr>
          <w:p w14:paraId="1C5B369C" w14:textId="77777777" w:rsidR="00BE65D0" w:rsidRPr="00401CCB" w:rsidRDefault="00BE65D0" w:rsidP="00D9032F">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24AD00B" w14:textId="77777777" w:rsidR="00BE65D0" w:rsidRPr="00401CCB" w:rsidRDefault="00BE65D0" w:rsidP="00D9032F">
            <w:pPr>
              <w:rPr>
                <w:rFonts w:asciiTheme="minorHAnsi" w:hAnsiTheme="minorHAnsi"/>
                <w:sz w:val="8"/>
                <w:szCs w:val="8"/>
              </w:rPr>
            </w:pPr>
          </w:p>
        </w:tc>
        <w:tc>
          <w:tcPr>
            <w:tcW w:w="4139" w:type="dxa"/>
            <w:gridSpan w:val="2"/>
            <w:tcBorders>
              <w:top w:val="nil"/>
              <w:left w:val="nil"/>
              <w:bottom w:val="single" w:sz="24" w:space="0" w:color="EE7444"/>
              <w:right w:val="nil"/>
            </w:tcBorders>
            <w:shd w:val="clear" w:color="auto" w:fill="auto"/>
          </w:tcPr>
          <w:p w14:paraId="3B1C19E0" w14:textId="77777777" w:rsidR="00BE65D0" w:rsidRPr="00401CCB" w:rsidRDefault="00BE65D0" w:rsidP="00D9032F">
            <w:pPr>
              <w:rPr>
                <w:rFonts w:asciiTheme="minorHAnsi" w:hAnsiTheme="minorHAnsi"/>
                <w:b/>
                <w:color w:val="FFFFFF"/>
                <w:sz w:val="8"/>
                <w:szCs w:val="8"/>
              </w:rPr>
            </w:pPr>
          </w:p>
        </w:tc>
      </w:tr>
      <w:tr w:rsidR="00BE65D0" w:rsidRPr="00401CCB" w14:paraId="5269C7CF" w14:textId="77777777" w:rsidTr="00C90183">
        <w:trPr>
          <w:gridAfter w:val="1"/>
          <w:wAfter w:w="162" w:type="dxa"/>
          <w:trHeight w:hRule="exact" w:val="573"/>
        </w:trPr>
        <w:tc>
          <w:tcPr>
            <w:tcW w:w="3351" w:type="dxa"/>
            <w:tcBorders>
              <w:top w:val="single" w:sz="24" w:space="0" w:color="951B81"/>
              <w:left w:val="single" w:sz="24" w:space="0" w:color="951B81"/>
              <w:bottom w:val="single" w:sz="24" w:space="0" w:color="951B81"/>
              <w:right w:val="single" w:sz="24" w:space="0" w:color="951B81"/>
            </w:tcBorders>
            <w:shd w:val="pct20" w:color="951B81" w:fill="auto"/>
          </w:tcPr>
          <w:p w14:paraId="2E16471E" w14:textId="77777777" w:rsidR="00BE65D0" w:rsidRPr="00401CCB" w:rsidRDefault="00BE65D0" w:rsidP="00D9032F">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74" w:type="dxa"/>
            <w:tcBorders>
              <w:top w:val="nil"/>
              <w:left w:val="single" w:sz="24" w:space="0" w:color="951B81"/>
              <w:bottom w:val="nil"/>
              <w:right w:val="single" w:sz="24" w:space="0" w:color="2AAC66"/>
            </w:tcBorders>
          </w:tcPr>
          <w:p w14:paraId="27B31FD8" w14:textId="77777777" w:rsidR="00BE65D0" w:rsidRPr="00401CCB" w:rsidRDefault="00BE65D0" w:rsidP="00D9032F">
            <w:pPr>
              <w:rPr>
                <w:rFonts w:ascii="Arial" w:hAnsi="Arial" w:cs="Arial"/>
                <w:sz w:val="17"/>
                <w:szCs w:val="17"/>
              </w:rPr>
            </w:pPr>
          </w:p>
        </w:tc>
        <w:tc>
          <w:tcPr>
            <w:tcW w:w="7857" w:type="dxa"/>
            <w:tcBorders>
              <w:top w:val="single" w:sz="24" w:space="0" w:color="2AAC66"/>
              <w:left w:val="single" w:sz="24" w:space="0" w:color="2AAC66"/>
              <w:bottom w:val="single" w:sz="24" w:space="0" w:color="2AAC66"/>
              <w:right w:val="single" w:sz="24" w:space="0" w:color="2AAC66"/>
            </w:tcBorders>
            <w:shd w:val="pct20" w:color="2AAC66" w:fill="auto"/>
          </w:tcPr>
          <w:p w14:paraId="1DD9620F" w14:textId="77777777" w:rsidR="00BE65D0" w:rsidRPr="00401CCB" w:rsidRDefault="00BE65D0" w:rsidP="00D9032F">
            <w:pPr>
              <w:rPr>
                <w:rFonts w:ascii="Arial" w:hAnsi="Arial" w:cs="Arial"/>
                <w:color w:val="2AAC66"/>
              </w:rPr>
            </w:pPr>
            <w:proofErr w:type="gramStart"/>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b/>
                <w:color w:val="2AAC66"/>
              </w:rPr>
              <w:t xml:space="preserve"> </w:t>
            </w:r>
            <w:r w:rsidRPr="00401CCB">
              <w:rPr>
                <w:rFonts w:ascii="Arial" w:hAnsi="Arial" w:cs="Arial"/>
                <w:color w:val="2AAC66"/>
                <w:sz w:val="24"/>
                <w:szCs w:val="24"/>
              </w:rPr>
              <w:t>Mettre</w:t>
            </w:r>
            <w:proofErr w:type="gramEnd"/>
            <w:r w:rsidRPr="00401CCB">
              <w:rPr>
                <w:rFonts w:ascii="Arial" w:hAnsi="Arial" w:cs="Arial"/>
                <w:color w:val="2AAC66"/>
                <w:sz w:val="24"/>
                <w:szCs w:val="24"/>
              </w:rPr>
              <w:t xml:space="preserve"> en œuvre</w:t>
            </w:r>
          </w:p>
        </w:tc>
        <w:tc>
          <w:tcPr>
            <w:tcW w:w="236" w:type="dxa"/>
            <w:tcBorders>
              <w:top w:val="nil"/>
              <w:left w:val="single" w:sz="24" w:space="0" w:color="2AAC66"/>
              <w:bottom w:val="nil"/>
              <w:right w:val="single" w:sz="24" w:space="0" w:color="EE7444"/>
            </w:tcBorders>
          </w:tcPr>
          <w:p w14:paraId="3793A2F4" w14:textId="77777777" w:rsidR="00BE65D0" w:rsidRPr="00401CCB" w:rsidRDefault="00BE65D0" w:rsidP="00D9032F">
            <w:pPr>
              <w:rPr>
                <w:rFonts w:ascii="Arial" w:hAnsi="Arial" w:cs="Arial"/>
                <w:sz w:val="17"/>
                <w:szCs w:val="17"/>
              </w:rPr>
            </w:pPr>
          </w:p>
        </w:tc>
        <w:tc>
          <w:tcPr>
            <w:tcW w:w="4139"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35DF4BC0" w14:textId="427A337A" w:rsidR="00BE65D0" w:rsidRPr="00401CCB" w:rsidRDefault="00BE65D0" w:rsidP="00D9032F">
            <w:pPr>
              <w:rPr>
                <w:rFonts w:ascii="Arial" w:hAnsi="Arial" w:cs="Arial"/>
                <w:b/>
                <w:color w:val="FFFFFF"/>
                <w:sz w:val="44"/>
                <w:szCs w:val="44"/>
              </w:rPr>
            </w:pPr>
            <w:r w:rsidRPr="00401CCB">
              <w:rPr>
                <w:rFonts w:ascii="Arial" w:hAnsi="Arial" w:cs="Arial"/>
                <w:b/>
                <w:color w:val="EE7444"/>
                <w:sz w:val="44"/>
                <w:szCs w:val="44"/>
              </w:rPr>
              <w:t xml:space="preserve">Check </w:t>
            </w:r>
            <w:r w:rsidR="0063223B" w:rsidRPr="00401CCB">
              <w:rPr>
                <w:rFonts w:ascii="Arial" w:hAnsi="Arial" w:cs="Arial"/>
                <w:color w:val="EE7444"/>
                <w:sz w:val="24"/>
                <w:szCs w:val="24"/>
              </w:rPr>
              <w:t>Évaluer</w:t>
            </w:r>
          </w:p>
        </w:tc>
      </w:tr>
      <w:tr w:rsidR="00B24E14" w:rsidRPr="00401CCB" w14:paraId="25F6F959" w14:textId="77777777" w:rsidTr="003F2C41">
        <w:trPr>
          <w:gridAfter w:val="1"/>
          <w:wAfter w:w="162" w:type="dxa"/>
          <w:trHeight w:hRule="exact" w:val="8107"/>
        </w:trPr>
        <w:tc>
          <w:tcPr>
            <w:tcW w:w="3351" w:type="dxa"/>
            <w:tcBorders>
              <w:top w:val="single" w:sz="24" w:space="0" w:color="951B81"/>
              <w:left w:val="single" w:sz="24" w:space="0" w:color="951B81"/>
              <w:bottom w:val="single" w:sz="24" w:space="0" w:color="951B81"/>
              <w:right w:val="single" w:sz="24" w:space="0" w:color="951B81"/>
            </w:tcBorders>
          </w:tcPr>
          <w:p w14:paraId="255DE455" w14:textId="77777777" w:rsidR="00B24E14" w:rsidRPr="00401CCB" w:rsidRDefault="00B24E14" w:rsidP="00B24E14">
            <w:pPr>
              <w:spacing w:before="60" w:after="60"/>
              <w:ind w:left="187" w:hanging="187"/>
              <w:rPr>
                <w:rFonts w:ascii="Arial" w:hAnsi="Arial" w:cs="Arial"/>
                <w:b/>
                <w:color w:val="951B81"/>
              </w:rPr>
            </w:pPr>
            <w:r w:rsidRPr="00401CCB">
              <w:rPr>
                <w:rFonts w:ascii="Arial" w:hAnsi="Arial" w:cs="Arial"/>
                <w:b/>
                <w:color w:val="951B81"/>
              </w:rPr>
              <w:t>Contexte, stratégie, sens, objectifs</w:t>
            </w:r>
          </w:p>
          <w:p w14:paraId="58256A7F"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Les relations partenariales de l’établissement avec le monde économique au bénéfice de l’insertion professionnelle des apprenants sont une priorité.</w:t>
            </w:r>
          </w:p>
          <w:p w14:paraId="2E737775"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 bureau des entreprises (BDE) est, le point d’entrée privilégié au sein de l’établissement pour les partenaires professionnels.</w:t>
            </w:r>
          </w:p>
          <w:p w14:paraId="1EBA9DDF"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 bureau des entreprises constitue un pôle physique et humain. Il fédère autour de ses missions l’ensemble de la communauté éducative.</w:t>
            </w:r>
          </w:p>
          <w:p w14:paraId="784729BB" w14:textId="77777777" w:rsidR="00F429C0" w:rsidRPr="00F429C0" w:rsidRDefault="00F429C0" w:rsidP="00F429C0">
            <w:pPr>
              <w:spacing w:after="120"/>
              <w:rPr>
                <w:rFonts w:ascii="Arial" w:eastAsia="Calibri" w:hAnsi="Arial" w:cs="Arial"/>
                <w:sz w:val="18"/>
                <w:szCs w:val="18"/>
                <w:lang w:eastAsia="en-US"/>
              </w:rPr>
            </w:pPr>
            <w:r w:rsidRPr="00F429C0">
              <w:rPr>
                <w:rFonts w:ascii="Arial" w:eastAsia="Calibri" w:hAnsi="Arial" w:cs="Arial"/>
                <w:sz w:val="18"/>
                <w:szCs w:val="18"/>
                <w:lang w:eastAsia="en-US"/>
              </w:rPr>
              <w:t>Les acteurs du bureau des entreprises doivent donc être identifiés et leurs missions connues de tous.</w:t>
            </w:r>
          </w:p>
          <w:p w14:paraId="5D18F433" w14:textId="77777777" w:rsidR="00F429C0" w:rsidRPr="00F429C0" w:rsidRDefault="00F429C0" w:rsidP="00F429C0">
            <w:pPr>
              <w:tabs>
                <w:tab w:val="left" w:pos="2001"/>
              </w:tabs>
              <w:spacing w:after="120"/>
              <w:rPr>
                <w:rFonts w:ascii="Arial" w:eastAsia="Calibri" w:hAnsi="Arial" w:cs="Arial"/>
                <w:sz w:val="24"/>
                <w:szCs w:val="24"/>
                <w:lang w:eastAsia="en-US"/>
              </w:rPr>
            </w:pPr>
            <w:r w:rsidRPr="00F429C0">
              <w:rPr>
                <w:rFonts w:ascii="Arial" w:eastAsia="Calibri" w:hAnsi="Arial" w:cs="Arial"/>
                <w:sz w:val="18"/>
                <w:szCs w:val="18"/>
                <w:lang w:eastAsia="en-US"/>
              </w:rPr>
              <w:t>Cette fiche est destinée aux établissements pour favoriser la dynamique du bureau des entreprises, les interactions entre ses membres et l’évaluation de ses actions.</w:t>
            </w:r>
          </w:p>
          <w:p w14:paraId="759962D5" w14:textId="77777777" w:rsidR="002B1FB6" w:rsidRPr="00401CCB" w:rsidRDefault="002B1FB6" w:rsidP="002B1FB6"/>
          <w:p w14:paraId="52334416" w14:textId="77777777" w:rsidR="002B1FB6" w:rsidRPr="00401CCB" w:rsidRDefault="002B1FB6" w:rsidP="002B1FB6"/>
          <w:p w14:paraId="7413BC86" w14:textId="77777777" w:rsidR="002B1FB6" w:rsidRPr="00401CCB" w:rsidRDefault="002B1FB6" w:rsidP="002B1FB6"/>
          <w:p w14:paraId="56AC8456" w14:textId="77777777" w:rsidR="002B1FB6" w:rsidRPr="00401CCB" w:rsidRDefault="002B1FB6" w:rsidP="002B1FB6"/>
          <w:p w14:paraId="2CC3DFC7" w14:textId="77777777" w:rsidR="002B1FB6" w:rsidRPr="00401CCB" w:rsidRDefault="002B1FB6" w:rsidP="002B1FB6"/>
          <w:p w14:paraId="0CD3460A" w14:textId="716C9188" w:rsidR="002B1FB6" w:rsidRPr="00401CCB" w:rsidRDefault="002B1FB6" w:rsidP="002B1FB6">
            <w:pPr>
              <w:tabs>
                <w:tab w:val="left" w:pos="3135"/>
              </w:tabs>
            </w:pPr>
            <w:r w:rsidRPr="00401CCB">
              <w:tab/>
            </w:r>
          </w:p>
        </w:tc>
        <w:tc>
          <w:tcPr>
            <w:tcW w:w="274" w:type="dxa"/>
            <w:tcBorders>
              <w:top w:val="nil"/>
              <w:left w:val="single" w:sz="24" w:space="0" w:color="951B81"/>
              <w:bottom w:val="nil"/>
              <w:right w:val="single" w:sz="24" w:space="0" w:color="2AAC66"/>
            </w:tcBorders>
          </w:tcPr>
          <w:p w14:paraId="2032B02C" w14:textId="77777777" w:rsidR="00B24E14" w:rsidRPr="00401CCB" w:rsidRDefault="00B24E14" w:rsidP="00B24E14">
            <w:pPr>
              <w:rPr>
                <w:rFonts w:asciiTheme="minorHAnsi" w:hAnsiTheme="minorHAnsi"/>
                <w:sz w:val="17"/>
                <w:szCs w:val="17"/>
              </w:rPr>
            </w:pPr>
          </w:p>
        </w:tc>
        <w:tc>
          <w:tcPr>
            <w:tcW w:w="7857" w:type="dxa"/>
            <w:tcBorders>
              <w:top w:val="single" w:sz="24" w:space="0" w:color="2AAC66"/>
              <w:left w:val="single" w:sz="24" w:space="0" w:color="2AAC66"/>
              <w:bottom w:val="single" w:sz="24" w:space="0" w:color="2AAC66"/>
              <w:right w:val="single" w:sz="24" w:space="0" w:color="2AAC66"/>
            </w:tcBorders>
          </w:tcPr>
          <w:p w14:paraId="539D46D9" w14:textId="77777777" w:rsidR="00B24E14" w:rsidRPr="00401CCB" w:rsidRDefault="00B24E14" w:rsidP="003743F1">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63262DFF" w14:textId="77777777" w:rsidR="006E09D1" w:rsidRPr="006E09D1" w:rsidRDefault="006E09D1" w:rsidP="006E09D1">
            <w:pPr>
              <w:widowControl w:val="0"/>
              <w:spacing w:after="60"/>
              <w:ind w:right="170"/>
              <w:jc w:val="both"/>
              <w:rPr>
                <w:rFonts w:ascii="Arial" w:hAnsi="Arial" w:cs="Arial"/>
                <w:b/>
                <w:bCs/>
                <w:color w:val="2AAC66"/>
                <w:sz w:val="18"/>
                <w:szCs w:val="18"/>
              </w:rPr>
            </w:pPr>
            <w:r w:rsidRPr="006E09D1">
              <w:rPr>
                <w:rFonts w:ascii="Arial" w:hAnsi="Arial" w:cs="Arial"/>
                <w:b/>
                <w:bCs/>
                <w:color w:val="2AAC66"/>
                <w:sz w:val="18"/>
                <w:szCs w:val="18"/>
              </w:rPr>
              <w:t>Communication (interne externe)</w:t>
            </w:r>
          </w:p>
          <w:p w14:paraId="5114F865"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 xml:space="preserve">Comment le bureau des entreprises communique-t-il sur ses missions auprès de ses bénéficiaires et des partenaires extérieurs ? </w:t>
            </w:r>
          </w:p>
          <w:p w14:paraId="045A06A5"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Comment s’assure-t-il que ses missions sont bien connues et comprises par tous ?</w:t>
            </w:r>
          </w:p>
          <w:p w14:paraId="75E22880" w14:textId="0216BEDD" w:rsidR="005B3BB5" w:rsidRPr="006E09D1" w:rsidRDefault="006E09D1" w:rsidP="003743F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Quels moyens l’établissement se donne-t-il pour mesurer l’impact de sa communication externe, notamment sur les réseaux sociaux</w:t>
            </w:r>
            <w:r>
              <w:rPr>
                <w:rFonts w:ascii="Arial" w:hAnsi="Arial" w:cs="Arial"/>
                <w:sz w:val="18"/>
                <w:szCs w:val="18"/>
              </w:rPr>
              <w:t> ?</w:t>
            </w:r>
          </w:p>
          <w:p w14:paraId="45CAE122" w14:textId="77777777" w:rsidR="006E09D1" w:rsidRDefault="006E09D1" w:rsidP="006E09D1">
            <w:pPr>
              <w:widowControl w:val="0"/>
              <w:tabs>
                <w:tab w:val="left" w:pos="323"/>
              </w:tabs>
              <w:spacing w:before="120" w:after="60"/>
              <w:rPr>
                <w:rFonts w:ascii="Arial" w:hAnsi="Arial" w:cs="Arial"/>
                <w:b/>
                <w:bCs/>
                <w:color w:val="2AAC66"/>
                <w:sz w:val="18"/>
                <w:szCs w:val="18"/>
              </w:rPr>
            </w:pPr>
            <w:r w:rsidRPr="006E09D1">
              <w:rPr>
                <w:rFonts w:ascii="Arial" w:hAnsi="Arial" w:cs="Arial"/>
                <w:b/>
                <w:bCs/>
                <w:color w:val="2AAC66"/>
                <w:sz w:val="18"/>
                <w:szCs w:val="18"/>
              </w:rPr>
              <w:t>Modalité de fonctionnement du BDE</w:t>
            </w:r>
          </w:p>
          <w:p w14:paraId="71F82FB8"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Quels axes du projet d’établissement abordent la relation partenariale ? Comment les missions du bureau des entreprises contribuent-elles aux différents axes du projet d’établissement ?</w:t>
            </w:r>
          </w:p>
          <w:p w14:paraId="58005A00"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Quelle est la stratégie budgétaire engagée par l’établissement pour faire vivre les actions du bureau des entreprises (demandes de subventions, taxe apprentissage…) ?</w:t>
            </w:r>
          </w:p>
          <w:p w14:paraId="24E5D07E"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À quelles instances les membres du bureau des entreprises prennent-ils part, et quel rôle y jouent-ils ?</w:t>
            </w:r>
          </w:p>
          <w:p w14:paraId="76076514"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 xml:space="preserve">Quels dispositifs sont mis en place pour favoriser les échanges entre ses acteurs ? </w:t>
            </w:r>
          </w:p>
          <w:p w14:paraId="69E6DF03"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Comment les acteurs du bureau des entreprises partagent-ils et accèdent-ils aux informations ? Quel système d’information commun est mis en place ?</w:t>
            </w:r>
          </w:p>
          <w:p w14:paraId="27857607"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 xml:space="preserve">Comment l’établissement recense-t-il et cartographie-t-il l’ensemble de ses partenariats socio-professionnels ? </w:t>
            </w:r>
          </w:p>
          <w:p w14:paraId="7A691110" w14:textId="1039108E"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Comment les actions menées par le bureau des entreprises sont-elles formalisées ? Quelles procédures sont décrites et quels outils (calendrier périodique, fiches de suivi, d’évaluation…) sont mis en place ?</w:t>
            </w:r>
          </w:p>
          <w:p w14:paraId="31386F6B"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Quelles actions sont conduites à destination des enseignants et des formateurs afin qu’ils s’appuient sur les relations partenariales dans leurs pratiques pédagogiques (visites, immersion en entreprise, intervention de professionnels, exploitation des PFMP, formation et développement des compétences…) ?</w:t>
            </w:r>
          </w:p>
          <w:p w14:paraId="64FF1B12" w14:textId="77777777" w:rsid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Comment l’établissement mesure-t-il l’impact de l’action du bureau des entreprises sur le développement et la formalisation de la démarche de projet ?</w:t>
            </w:r>
          </w:p>
          <w:p w14:paraId="1445D5A2" w14:textId="2043D2EA" w:rsidR="00431F5D" w:rsidRPr="006E09D1" w:rsidRDefault="006E09D1" w:rsidP="006E09D1">
            <w:pPr>
              <w:pStyle w:val="Paragraphedeliste"/>
              <w:widowControl w:val="0"/>
              <w:numPr>
                <w:ilvl w:val="0"/>
                <w:numId w:val="9"/>
              </w:numPr>
              <w:tabs>
                <w:tab w:val="left" w:pos="323"/>
              </w:tabs>
              <w:ind w:left="219" w:hanging="219"/>
              <w:rPr>
                <w:rFonts w:ascii="Arial" w:hAnsi="Arial" w:cs="Arial"/>
                <w:sz w:val="18"/>
                <w:szCs w:val="18"/>
              </w:rPr>
            </w:pPr>
            <w:r w:rsidRPr="006E09D1">
              <w:rPr>
                <w:rFonts w:ascii="Arial" w:hAnsi="Arial" w:cs="Arial"/>
                <w:sz w:val="18"/>
                <w:szCs w:val="18"/>
              </w:rPr>
              <w:t>Comment les actions du bureau des entreprises sont-elles évaluées ? Par qui, selon quelles modalités ?</w:t>
            </w:r>
          </w:p>
        </w:tc>
        <w:tc>
          <w:tcPr>
            <w:tcW w:w="236" w:type="dxa"/>
            <w:tcBorders>
              <w:top w:val="nil"/>
              <w:left w:val="single" w:sz="24" w:space="0" w:color="2AAC66"/>
              <w:bottom w:val="nil"/>
              <w:right w:val="single" w:sz="24" w:space="0" w:color="EE7444"/>
            </w:tcBorders>
          </w:tcPr>
          <w:p w14:paraId="5621690A" w14:textId="77777777" w:rsidR="00B24E14" w:rsidRPr="00401CCB" w:rsidRDefault="00B24E14" w:rsidP="00B24E14">
            <w:pPr>
              <w:rPr>
                <w:rFonts w:ascii="Arial" w:hAnsi="Arial" w:cs="Arial"/>
                <w:sz w:val="17"/>
                <w:szCs w:val="17"/>
              </w:rPr>
            </w:pPr>
          </w:p>
        </w:tc>
        <w:tc>
          <w:tcPr>
            <w:tcW w:w="4139" w:type="dxa"/>
            <w:gridSpan w:val="2"/>
            <w:tcBorders>
              <w:top w:val="single" w:sz="24" w:space="0" w:color="EE7444"/>
              <w:left w:val="single" w:sz="24" w:space="0" w:color="EE7444"/>
              <w:bottom w:val="single" w:sz="24" w:space="0" w:color="EE7444"/>
              <w:right w:val="single" w:sz="24" w:space="0" w:color="EE7444"/>
            </w:tcBorders>
          </w:tcPr>
          <w:p w14:paraId="0FC03E28" w14:textId="7620D60C" w:rsidR="00B24E14" w:rsidRPr="00240518" w:rsidRDefault="00B24E14" w:rsidP="00240518">
            <w:pPr>
              <w:spacing w:before="60" w:after="120"/>
              <w:ind w:left="79"/>
              <w:rPr>
                <w:rFonts w:ascii="Arial" w:hAnsi="Arial" w:cs="Arial"/>
                <w:b/>
                <w:color w:val="EE7444"/>
              </w:rPr>
            </w:pPr>
            <w:r w:rsidRPr="00401CCB">
              <w:rPr>
                <w:rFonts w:ascii="Arial" w:hAnsi="Arial" w:cs="Arial"/>
                <w:b/>
                <w:color w:val="EE7444"/>
              </w:rPr>
              <w:t>Exemples d’indicateurs de suivi</w:t>
            </w:r>
            <w:r w:rsidRPr="00401CCB">
              <w:rPr>
                <w:rFonts w:ascii="Arial" w:hAnsi="Arial" w:cs="Arial"/>
                <w:color w:val="EE7444"/>
              </w:rPr>
              <w:t xml:space="preserve"> </w:t>
            </w:r>
          </w:p>
          <w:p w14:paraId="0B296F34" w14:textId="77777777" w:rsidR="00240518" w:rsidRPr="00240518" w:rsidRDefault="00240518" w:rsidP="00240518">
            <w:pPr>
              <w:widowControl w:val="0"/>
              <w:tabs>
                <w:tab w:val="left" w:pos="323"/>
                <w:tab w:val="left" w:pos="3336"/>
              </w:tabs>
              <w:spacing w:after="60"/>
              <w:rPr>
                <w:rFonts w:ascii="Arial" w:hAnsi="Arial" w:cs="Arial"/>
                <w:sz w:val="18"/>
                <w:szCs w:val="18"/>
              </w:rPr>
            </w:pPr>
            <w:r w:rsidRPr="00240518">
              <w:rPr>
                <w:rFonts w:ascii="Arial" w:hAnsi="Arial" w:cs="Arial"/>
                <w:sz w:val="18"/>
                <w:szCs w:val="18"/>
              </w:rPr>
              <w:t>Existence d’un protocole de communication externe déclinant les différents médias, d’une charte utilisateurs</w:t>
            </w:r>
          </w:p>
          <w:p w14:paraId="511A2DB5" w14:textId="4F9BD064" w:rsidR="00240518" w:rsidRDefault="00240518" w:rsidP="00240518">
            <w:pPr>
              <w:widowControl w:val="0"/>
              <w:tabs>
                <w:tab w:val="left" w:pos="323"/>
                <w:tab w:val="left" w:pos="3336"/>
              </w:tabs>
              <w:spacing w:after="60"/>
              <w:rPr>
                <w:rFonts w:ascii="Arial" w:hAnsi="Arial" w:cs="Arial"/>
                <w:sz w:val="18"/>
                <w:szCs w:val="18"/>
              </w:rPr>
            </w:pPr>
            <w:r w:rsidRPr="00240518">
              <w:rPr>
                <w:rFonts w:ascii="Arial" w:hAnsi="Arial" w:cs="Arial"/>
                <w:sz w:val="18"/>
                <w:szCs w:val="18"/>
              </w:rPr>
              <w:t>Nombres de vues, de commentaires, de commentaires qualitatifs, de prises de contact à la suite de publications</w:t>
            </w:r>
          </w:p>
          <w:p w14:paraId="765AA24B" w14:textId="1FF9E6DB" w:rsidR="00240518" w:rsidRPr="00A62EC6" w:rsidRDefault="00240518" w:rsidP="00240518">
            <w:pPr>
              <w:widowControl w:val="0"/>
              <w:tabs>
                <w:tab w:val="left" w:pos="323"/>
                <w:tab w:val="left" w:pos="3336"/>
              </w:tabs>
              <w:spacing w:after="60"/>
              <w:rPr>
                <w:rFonts w:ascii="Arial" w:hAnsi="Arial" w:cs="Arial"/>
                <w:sz w:val="18"/>
                <w:szCs w:val="18"/>
              </w:rPr>
            </w:pPr>
            <w:r w:rsidRPr="00A62EC6">
              <w:rPr>
                <w:rFonts w:ascii="Arial" w:hAnsi="Arial" w:cs="Arial"/>
                <w:sz w:val="18"/>
                <w:szCs w:val="18"/>
              </w:rPr>
              <w:t>Existence de procédures écrites</w:t>
            </w:r>
          </w:p>
          <w:p w14:paraId="0E111E7F" w14:textId="77777777" w:rsidR="00240518" w:rsidRPr="00A62EC6" w:rsidRDefault="00240518" w:rsidP="00240518">
            <w:pPr>
              <w:widowControl w:val="0"/>
              <w:tabs>
                <w:tab w:val="left" w:pos="323"/>
                <w:tab w:val="left" w:pos="3336"/>
              </w:tabs>
              <w:spacing w:after="60"/>
              <w:rPr>
                <w:rFonts w:ascii="Arial" w:hAnsi="Arial" w:cs="Arial"/>
                <w:sz w:val="18"/>
                <w:szCs w:val="18"/>
              </w:rPr>
            </w:pPr>
            <w:r w:rsidRPr="00A62EC6">
              <w:rPr>
                <w:rFonts w:ascii="Arial" w:hAnsi="Arial" w:cs="Arial"/>
                <w:sz w:val="18"/>
                <w:szCs w:val="18"/>
              </w:rPr>
              <w:t>Existence d’un outil collaboratif au service de la relation partenariale</w:t>
            </w:r>
          </w:p>
          <w:p w14:paraId="41CB9C5E"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 xml:space="preserve">Existence de fiches action </w:t>
            </w:r>
          </w:p>
          <w:p w14:paraId="3B3A9EC3" w14:textId="77777777" w:rsidR="00240518" w:rsidRPr="00A62EC6" w:rsidRDefault="00240518" w:rsidP="00240518">
            <w:pPr>
              <w:widowControl w:val="0"/>
              <w:tabs>
                <w:tab w:val="left" w:pos="323"/>
                <w:tab w:val="left" w:pos="3336"/>
              </w:tabs>
              <w:spacing w:after="60"/>
              <w:rPr>
                <w:rFonts w:ascii="Arial" w:hAnsi="Arial" w:cs="Arial"/>
                <w:sz w:val="18"/>
                <w:szCs w:val="18"/>
              </w:rPr>
            </w:pPr>
            <w:r w:rsidRPr="00A62EC6">
              <w:rPr>
                <w:rFonts w:ascii="Arial" w:hAnsi="Arial" w:cs="Arial"/>
                <w:sz w:val="18"/>
                <w:szCs w:val="18"/>
              </w:rPr>
              <w:t>Nombre d’axes du projet d’établissement intégrant la relation partenariale</w:t>
            </w:r>
          </w:p>
          <w:p w14:paraId="52E965CC" w14:textId="77777777" w:rsidR="00240518" w:rsidRPr="00A62EC6" w:rsidRDefault="00240518" w:rsidP="00240518">
            <w:pPr>
              <w:widowControl w:val="0"/>
              <w:tabs>
                <w:tab w:val="left" w:pos="323"/>
                <w:tab w:val="left" w:pos="3336"/>
              </w:tabs>
              <w:spacing w:after="60"/>
              <w:rPr>
                <w:rFonts w:ascii="Arial" w:hAnsi="Arial" w:cs="Arial"/>
                <w:sz w:val="18"/>
                <w:szCs w:val="18"/>
              </w:rPr>
            </w:pPr>
            <w:r w:rsidRPr="00A62EC6">
              <w:rPr>
                <w:rFonts w:ascii="Arial" w:hAnsi="Arial" w:cs="Arial"/>
                <w:sz w:val="18"/>
                <w:szCs w:val="18"/>
              </w:rPr>
              <w:t xml:space="preserve">Origine des financements et taux d’évolution du budget alloué aux actions du </w:t>
            </w:r>
            <w:r>
              <w:rPr>
                <w:rFonts w:ascii="Arial" w:hAnsi="Arial" w:cs="Arial"/>
                <w:sz w:val="18"/>
                <w:szCs w:val="18"/>
              </w:rPr>
              <w:t>BDE</w:t>
            </w:r>
            <w:r w:rsidRPr="00A62EC6">
              <w:rPr>
                <w:rFonts w:ascii="Arial" w:hAnsi="Arial" w:cs="Arial"/>
                <w:sz w:val="18"/>
                <w:szCs w:val="18"/>
              </w:rPr>
              <w:t xml:space="preserve"> </w:t>
            </w:r>
          </w:p>
          <w:p w14:paraId="5EF31D79" w14:textId="77777777" w:rsidR="00240518" w:rsidRPr="00A62EC6" w:rsidRDefault="00240518" w:rsidP="00240518">
            <w:pPr>
              <w:tabs>
                <w:tab w:val="left" w:pos="3336"/>
              </w:tabs>
              <w:spacing w:after="60"/>
              <w:rPr>
                <w:rFonts w:ascii="Arial" w:hAnsi="Arial" w:cs="Arial"/>
                <w:sz w:val="18"/>
                <w:szCs w:val="18"/>
              </w:rPr>
            </w:pPr>
            <w:r w:rsidRPr="00A62EC6">
              <w:rPr>
                <w:rFonts w:ascii="Arial" w:hAnsi="Arial" w:cs="Arial"/>
                <w:sz w:val="18"/>
                <w:szCs w:val="18"/>
              </w:rPr>
              <w:t xml:space="preserve">Nombre d’instances dans lesquelles le </w:t>
            </w:r>
            <w:r>
              <w:rPr>
                <w:rFonts w:ascii="Arial" w:hAnsi="Arial" w:cs="Arial"/>
                <w:sz w:val="18"/>
                <w:szCs w:val="18"/>
              </w:rPr>
              <w:t>BDE</w:t>
            </w:r>
            <w:r w:rsidRPr="00A62EC6">
              <w:rPr>
                <w:rFonts w:ascii="Arial" w:hAnsi="Arial" w:cs="Arial"/>
                <w:sz w:val="18"/>
                <w:szCs w:val="18"/>
              </w:rPr>
              <w:t xml:space="preserve"> est représenté </w:t>
            </w:r>
          </w:p>
          <w:p w14:paraId="2FBE870C" w14:textId="77777777" w:rsidR="00240518" w:rsidRPr="00A62EC6" w:rsidRDefault="00240518" w:rsidP="00240518">
            <w:pPr>
              <w:widowControl w:val="0"/>
              <w:tabs>
                <w:tab w:val="left" w:pos="323"/>
                <w:tab w:val="left" w:pos="3336"/>
              </w:tabs>
              <w:spacing w:after="60"/>
              <w:rPr>
                <w:rFonts w:ascii="Arial" w:hAnsi="Arial" w:cs="Arial"/>
                <w:sz w:val="18"/>
                <w:szCs w:val="18"/>
              </w:rPr>
            </w:pPr>
            <w:r w:rsidRPr="00A62EC6">
              <w:rPr>
                <w:rFonts w:ascii="Arial" w:hAnsi="Arial" w:cs="Arial"/>
                <w:sz w:val="18"/>
                <w:szCs w:val="18"/>
              </w:rPr>
              <w:t>Nombre moyen de réunions par an où le bureau des entreprises est présent et comptes rendus formalisés.</w:t>
            </w:r>
          </w:p>
          <w:p w14:paraId="3B4F93E7"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Nombre de partenariats / de conventions signées</w:t>
            </w:r>
          </w:p>
          <w:p w14:paraId="76E9D5C3"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Taux de partenariats reconduits, taux de rupture</w:t>
            </w:r>
          </w:p>
          <w:p w14:paraId="03BA99AC"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 xml:space="preserve">Taux d’apprenants ayant bénéficié d’actions menées par le </w:t>
            </w:r>
            <w:r>
              <w:rPr>
                <w:rFonts w:ascii="Arial" w:hAnsi="Arial" w:cs="Arial"/>
                <w:sz w:val="18"/>
                <w:szCs w:val="18"/>
              </w:rPr>
              <w:t>BDE</w:t>
            </w:r>
          </w:p>
          <w:p w14:paraId="28A60A77"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 xml:space="preserve">Taux de personnels ayant bénéficié d’actions menées par le </w:t>
            </w:r>
            <w:r>
              <w:rPr>
                <w:rFonts w:ascii="Arial" w:hAnsi="Arial" w:cs="Arial"/>
                <w:sz w:val="18"/>
                <w:szCs w:val="18"/>
              </w:rPr>
              <w:t>BDE</w:t>
            </w:r>
          </w:p>
          <w:p w14:paraId="04EC4CCD"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Taux de personnels formés à la démarche de projet, à la démarche partenariale et à son exploitation pédagogique</w:t>
            </w:r>
          </w:p>
          <w:p w14:paraId="784B1894"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Nombre de personnels qui ont participé à un stage en entreprise (</w:t>
            </w:r>
            <w:proofErr w:type="spellStart"/>
            <w:r w:rsidRPr="00A62EC6">
              <w:rPr>
                <w:rFonts w:ascii="Arial" w:hAnsi="Arial" w:cs="Arial"/>
                <w:sz w:val="18"/>
                <w:szCs w:val="18"/>
              </w:rPr>
              <w:t>Cefpep</w:t>
            </w:r>
            <w:proofErr w:type="spellEnd"/>
            <w:r w:rsidRPr="00A62EC6">
              <w:rPr>
                <w:rFonts w:ascii="Arial" w:hAnsi="Arial" w:cs="Arial"/>
                <w:sz w:val="18"/>
                <w:szCs w:val="18"/>
              </w:rPr>
              <w:t>…)</w:t>
            </w:r>
          </w:p>
          <w:p w14:paraId="73FAEA3C" w14:textId="77777777" w:rsidR="00240518" w:rsidRPr="00A62EC6" w:rsidRDefault="00240518" w:rsidP="00240518">
            <w:pPr>
              <w:widowControl w:val="0"/>
              <w:tabs>
                <w:tab w:val="left" w:pos="3336"/>
              </w:tabs>
              <w:spacing w:after="60"/>
              <w:rPr>
                <w:rFonts w:ascii="Arial" w:hAnsi="Arial" w:cs="Arial"/>
                <w:sz w:val="18"/>
                <w:szCs w:val="18"/>
              </w:rPr>
            </w:pPr>
            <w:r w:rsidRPr="00A62EC6">
              <w:rPr>
                <w:rFonts w:ascii="Arial" w:hAnsi="Arial" w:cs="Arial"/>
                <w:sz w:val="18"/>
                <w:szCs w:val="18"/>
              </w:rPr>
              <w:t>Taux de satisfaction des bénéficiaires des actions</w:t>
            </w:r>
          </w:p>
          <w:p w14:paraId="3273F7D2" w14:textId="633793A6" w:rsidR="00B24E14" w:rsidRPr="00401CCB" w:rsidRDefault="00B24E14" w:rsidP="00240518">
            <w:pPr>
              <w:widowControl w:val="0"/>
              <w:tabs>
                <w:tab w:val="left" w:pos="323"/>
              </w:tabs>
              <w:spacing w:after="60"/>
              <w:ind w:left="91"/>
              <w:rPr>
                <w:rFonts w:ascii="Arial" w:eastAsia="MS Mincho" w:hAnsi="Arial" w:cs="Arial"/>
                <w:sz w:val="18"/>
                <w:szCs w:val="18"/>
              </w:rPr>
            </w:pPr>
          </w:p>
        </w:tc>
      </w:tr>
      <w:bookmarkEnd w:id="1"/>
    </w:tbl>
    <w:p w14:paraId="51D33BC2" w14:textId="77777777" w:rsidR="00F72C43" w:rsidRPr="00F72C43" w:rsidRDefault="00F72C43" w:rsidP="00F72C43">
      <w:pPr>
        <w:sectPr w:rsidR="00F72C43" w:rsidRPr="00F72C43" w:rsidSect="00744498">
          <w:footerReference w:type="default" r:id="rId17"/>
          <w:pgSz w:w="16838" w:h="11906" w:orient="landscape"/>
          <w:pgMar w:top="284" w:right="1387" w:bottom="1" w:left="1134" w:header="567" w:footer="397"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r w:rsidRPr="00401CCB">
              <w:rPr>
                <w:rFonts w:ascii="Arial" w:hAnsi="Arial" w:cs="Arial"/>
                <w:b/>
                <w:color w:val="00B5C6"/>
                <w:sz w:val="44"/>
                <w:szCs w:val="44"/>
              </w:rPr>
              <w:t>Act</w:t>
            </w:r>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865865">
            <w:pPr>
              <w:widowControl w:val="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6DEF80A1">
              <wp:simplePos x="0" y="0"/>
              <wp:positionH relativeFrom="column">
                <wp:posOffset>917879</wp:posOffset>
              </wp:positionH>
              <wp:positionV relativeFrom="paragraph">
                <wp:posOffset>-23137</wp:posOffset>
              </wp:positionV>
              <wp:extent cx="2499139" cy="747423"/>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499139" cy="7474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2A464F26"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 académie</w:t>
                          </w:r>
                          <w:r w:rsidR="00F72C43">
                            <w:rPr>
                              <w:rFonts w:ascii="Calibri" w:hAnsi="Calibri"/>
                              <w:b/>
                              <w:color w:val="00B5C6"/>
                              <w:sz w:val="16"/>
                              <w:szCs w:val="28"/>
                            </w:rPr>
                            <w:t xml:space="preserve"> de Limoges</w:t>
                          </w:r>
                          <w:r w:rsidR="00496A06">
                            <w:rPr>
                              <w:rFonts w:ascii="Calibri" w:hAnsi="Calibri"/>
                              <w:b/>
                              <w:color w:val="00B5C6"/>
                              <w:sz w:val="16"/>
                              <w:szCs w:val="28"/>
                            </w:rPr>
                            <w:t> </w:t>
                          </w:r>
                          <w:r w:rsidRPr="001B37E2">
                            <w:rPr>
                              <w:rFonts w:ascii="Calibri" w:hAnsi="Calibri"/>
                              <w:b/>
                              <w:color w:val="00B5C6"/>
                              <w:sz w:val="16"/>
                              <w:szCs w:val="28"/>
                            </w:rPr>
                            <w:t>– Bureau Dgesco A2-2</w:t>
                          </w:r>
                          <w:r>
                            <w:rPr>
                              <w:rFonts w:ascii="Calibri" w:hAnsi="Calibri"/>
                              <w:b/>
                              <w:color w:val="00B5C6"/>
                              <w:sz w:val="16"/>
                              <w:szCs w:val="28"/>
                            </w:rPr>
                            <w:t>, bureau des lycées professionnels, de l’apprentissage et de la formation professionnelle continue</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72.25pt;margin-top:-1.8pt;width:196.8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kSdgIAAGUFAAAOAAAAZHJzL2Uyb0RvYy54bWysVEtPGzEQvlfqf7B8L5uEAE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" fillcolor="white [3201]" stroked="f" strokeweight=".5pt">
              <v:textbox>
                <w:txbxContent>
                  <w:p w14:paraId="2F782134" w14:textId="2A464F26"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 académie</w:t>
                    </w:r>
                    <w:r w:rsidR="00F72C43">
                      <w:rPr>
                        <w:rFonts w:ascii="Calibri" w:hAnsi="Calibri"/>
                        <w:b/>
                        <w:color w:val="00B5C6"/>
                        <w:sz w:val="16"/>
                        <w:szCs w:val="28"/>
                      </w:rPr>
                      <w:t xml:space="preserve"> de Limoges</w:t>
                    </w:r>
                    <w:r w:rsidR="00496A06">
                      <w:rPr>
                        <w:rFonts w:ascii="Calibri" w:hAnsi="Calibri"/>
                        <w:b/>
                        <w:color w:val="00B5C6"/>
                        <w:sz w:val="16"/>
                        <w:szCs w:val="28"/>
                      </w:rPr>
                      <w:t> </w:t>
                    </w:r>
                    <w:r w:rsidRPr="001B37E2">
                      <w:rPr>
                        <w:rFonts w:ascii="Calibri" w:hAnsi="Calibri"/>
                        <w:b/>
                        <w:color w:val="00B5C6"/>
                        <w:sz w:val="16"/>
                        <w:szCs w:val="28"/>
                      </w:rPr>
                      <w:t>– Bureau Dgesco A2-2</w:t>
                    </w:r>
                    <w:r>
                      <w:rPr>
                        <w:rFonts w:ascii="Calibri" w:hAnsi="Calibri"/>
                        <w:b/>
                        <w:color w:val="00B5C6"/>
                        <w:sz w:val="16"/>
                        <w:szCs w:val="28"/>
                      </w:rPr>
                      <w:t>, bureau des lycées professionnels, de l’apprentissage et de la formation professionnelle continue</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5D6B2" w14:textId="41462EFC"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F72C43">
                            <w:rPr>
                              <w:rFonts w:ascii="Marianne" w:hAnsi="Marianne"/>
                              <w:b/>
                              <w:color w:val="00B5C6"/>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79D5D6B2" w14:textId="41462EFC"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F72C43">
                      <w:rPr>
                        <w:rFonts w:ascii="Marianne" w:hAnsi="Marianne"/>
                        <w:b/>
                        <w:color w:val="00B5C6"/>
                        <w:sz w:val="24"/>
                        <w:szCs w:val="24"/>
                      </w:rPr>
                      <w:t>5</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54F4FA9"/>
    <w:multiLevelType w:val="hybridMultilevel"/>
    <w:tmpl w:val="9C563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AB46D3"/>
    <w:multiLevelType w:val="multilevel"/>
    <w:tmpl w:val="AA726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4"/>
  </w:num>
  <w:num w:numId="2" w16cid:durableId="1496527722">
    <w:abstractNumId w:val="0"/>
  </w:num>
  <w:num w:numId="3" w16cid:durableId="1942570898">
    <w:abstractNumId w:val="2"/>
  </w:num>
  <w:num w:numId="4" w16cid:durableId="8222907">
    <w:abstractNumId w:val="7"/>
  </w:num>
  <w:num w:numId="5" w16cid:durableId="2008701794">
    <w:abstractNumId w:val="3"/>
  </w:num>
  <w:num w:numId="6" w16cid:durableId="514928024">
    <w:abstractNumId w:val="1"/>
  </w:num>
  <w:num w:numId="7" w16cid:durableId="369577301">
    <w:abstractNumId w:val="8"/>
  </w:num>
  <w:num w:numId="8" w16cid:durableId="1019044905">
    <w:abstractNumId w:val="6"/>
  </w:num>
  <w:num w:numId="9" w16cid:durableId="1038550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43940"/>
    <w:rsid w:val="000A1EDB"/>
    <w:rsid w:val="000A6FED"/>
    <w:rsid w:val="000D18E2"/>
    <w:rsid w:val="00164144"/>
    <w:rsid w:val="00196F13"/>
    <w:rsid w:val="001B37E2"/>
    <w:rsid w:val="001E1709"/>
    <w:rsid w:val="001F1400"/>
    <w:rsid w:val="0021040A"/>
    <w:rsid w:val="002121F9"/>
    <w:rsid w:val="00240518"/>
    <w:rsid w:val="0026423C"/>
    <w:rsid w:val="00267890"/>
    <w:rsid w:val="002A5DE8"/>
    <w:rsid w:val="002A63BA"/>
    <w:rsid w:val="002B1FB6"/>
    <w:rsid w:val="002E49DE"/>
    <w:rsid w:val="00300E11"/>
    <w:rsid w:val="003426AD"/>
    <w:rsid w:val="003743F1"/>
    <w:rsid w:val="003B2904"/>
    <w:rsid w:val="003F19AB"/>
    <w:rsid w:val="003F2C41"/>
    <w:rsid w:val="00401CCB"/>
    <w:rsid w:val="00431F5D"/>
    <w:rsid w:val="00436D64"/>
    <w:rsid w:val="00464261"/>
    <w:rsid w:val="00496A06"/>
    <w:rsid w:val="004B62D6"/>
    <w:rsid w:val="004B73D9"/>
    <w:rsid w:val="004C5166"/>
    <w:rsid w:val="004D6944"/>
    <w:rsid w:val="0052485B"/>
    <w:rsid w:val="00543E17"/>
    <w:rsid w:val="005B3BB5"/>
    <w:rsid w:val="005F3EF7"/>
    <w:rsid w:val="0063223B"/>
    <w:rsid w:val="006A784C"/>
    <w:rsid w:val="006C2652"/>
    <w:rsid w:val="006D79C1"/>
    <w:rsid w:val="006E09D1"/>
    <w:rsid w:val="006E1FAD"/>
    <w:rsid w:val="00744498"/>
    <w:rsid w:val="007B5ED0"/>
    <w:rsid w:val="00830716"/>
    <w:rsid w:val="008702A8"/>
    <w:rsid w:val="00905628"/>
    <w:rsid w:val="00956F5C"/>
    <w:rsid w:val="009670F2"/>
    <w:rsid w:val="00A778CE"/>
    <w:rsid w:val="00A8758D"/>
    <w:rsid w:val="00A97672"/>
    <w:rsid w:val="00AA0CB0"/>
    <w:rsid w:val="00AA7E39"/>
    <w:rsid w:val="00AC414F"/>
    <w:rsid w:val="00AC6DC0"/>
    <w:rsid w:val="00B24E14"/>
    <w:rsid w:val="00B44C13"/>
    <w:rsid w:val="00B4659B"/>
    <w:rsid w:val="00B65C50"/>
    <w:rsid w:val="00B75018"/>
    <w:rsid w:val="00B8120E"/>
    <w:rsid w:val="00BE65D0"/>
    <w:rsid w:val="00C90183"/>
    <w:rsid w:val="00C9374E"/>
    <w:rsid w:val="00CC73DE"/>
    <w:rsid w:val="00D403B1"/>
    <w:rsid w:val="00D40C51"/>
    <w:rsid w:val="00D4569F"/>
    <w:rsid w:val="00D66DCC"/>
    <w:rsid w:val="00D7761A"/>
    <w:rsid w:val="00E478E4"/>
    <w:rsid w:val="00E67071"/>
    <w:rsid w:val="00E96609"/>
    <w:rsid w:val="00EA060D"/>
    <w:rsid w:val="00ED6F85"/>
    <w:rsid w:val="00F429C0"/>
    <w:rsid w:val="00F70AC2"/>
    <w:rsid w:val="00F72C43"/>
    <w:rsid w:val="00FB0D15"/>
    <w:rsid w:val="00FB5AEE"/>
    <w:rsid w:val="00FC0395"/>
    <w:rsid w:val="00FC266A"/>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C0"/>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2642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styleId="Lienhypertexte">
    <w:name w:val="Hyperlink"/>
    <w:basedOn w:val="Policepardfaut"/>
    <w:uiPriority w:val="99"/>
    <w:unhideWhenUsed/>
    <w:rsid w:val="005F3EF7"/>
    <w:rPr>
      <w:color w:val="0000FF" w:themeColor="hyperlink"/>
      <w:u w:val="single"/>
    </w:rPr>
  </w:style>
  <w:style w:type="character" w:styleId="Mentionnonrsolue">
    <w:name w:val="Unresolved Mention"/>
    <w:basedOn w:val="Policepardfaut"/>
    <w:uiPriority w:val="99"/>
    <w:semiHidden/>
    <w:unhideWhenUsed/>
    <w:rsid w:val="005F3EF7"/>
    <w:rPr>
      <w:color w:val="605E5C"/>
      <w:shd w:val="clear" w:color="auto" w:fill="E1DFDD"/>
    </w:rPr>
  </w:style>
  <w:style w:type="character" w:customStyle="1" w:styleId="Titre1Car">
    <w:name w:val="Titre 1 Car"/>
    <w:basedOn w:val="Policepardfaut"/>
    <w:link w:val="Titre1"/>
    <w:uiPriority w:val="9"/>
    <w:rsid w:val="0026423C"/>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0401">
      <w:bodyDiv w:val="1"/>
      <w:marLeft w:val="0"/>
      <w:marRight w:val="0"/>
      <w:marTop w:val="0"/>
      <w:marBottom w:val="0"/>
      <w:divBdr>
        <w:top w:val="none" w:sz="0" w:space="0" w:color="auto"/>
        <w:left w:val="none" w:sz="0" w:space="0" w:color="auto"/>
        <w:bottom w:val="none" w:sz="0" w:space="0" w:color="auto"/>
        <w:right w:val="none" w:sz="0" w:space="0" w:color="auto"/>
      </w:divBdr>
    </w:div>
    <w:div w:id="690764990">
      <w:bodyDiv w:val="1"/>
      <w:marLeft w:val="0"/>
      <w:marRight w:val="0"/>
      <w:marTop w:val="0"/>
      <w:marBottom w:val="0"/>
      <w:divBdr>
        <w:top w:val="none" w:sz="0" w:space="0" w:color="auto"/>
        <w:left w:val="none" w:sz="0" w:space="0" w:color="auto"/>
        <w:bottom w:val="none" w:sz="0" w:space="0" w:color="auto"/>
        <w:right w:val="none" w:sz="0" w:space="0" w:color="auto"/>
      </w:divBdr>
    </w:div>
    <w:div w:id="744108261">
      <w:bodyDiv w:val="1"/>
      <w:marLeft w:val="0"/>
      <w:marRight w:val="0"/>
      <w:marTop w:val="0"/>
      <w:marBottom w:val="0"/>
      <w:divBdr>
        <w:top w:val="none" w:sz="0" w:space="0" w:color="auto"/>
        <w:left w:val="none" w:sz="0" w:space="0" w:color="auto"/>
        <w:bottom w:val="none" w:sz="0" w:space="0" w:color="auto"/>
        <w:right w:val="none" w:sz="0" w:space="0" w:color="auto"/>
      </w:divBdr>
    </w:div>
    <w:div w:id="892697677">
      <w:bodyDiv w:val="1"/>
      <w:marLeft w:val="0"/>
      <w:marRight w:val="0"/>
      <w:marTop w:val="0"/>
      <w:marBottom w:val="0"/>
      <w:divBdr>
        <w:top w:val="none" w:sz="0" w:space="0" w:color="auto"/>
        <w:left w:val="none" w:sz="0" w:space="0" w:color="auto"/>
        <w:bottom w:val="none" w:sz="0" w:space="0" w:color="auto"/>
        <w:right w:val="none" w:sz="0" w:space="0" w:color="auto"/>
      </w:divBdr>
    </w:div>
    <w:div w:id="910579958">
      <w:bodyDiv w:val="1"/>
      <w:marLeft w:val="0"/>
      <w:marRight w:val="0"/>
      <w:marTop w:val="0"/>
      <w:marBottom w:val="0"/>
      <w:divBdr>
        <w:top w:val="none" w:sz="0" w:space="0" w:color="auto"/>
        <w:left w:val="none" w:sz="0" w:space="0" w:color="auto"/>
        <w:bottom w:val="none" w:sz="0" w:space="0" w:color="auto"/>
        <w:right w:val="none" w:sz="0" w:space="0" w:color="auto"/>
      </w:divBdr>
    </w:div>
    <w:div w:id="943999678">
      <w:bodyDiv w:val="1"/>
      <w:marLeft w:val="0"/>
      <w:marRight w:val="0"/>
      <w:marTop w:val="0"/>
      <w:marBottom w:val="0"/>
      <w:divBdr>
        <w:top w:val="none" w:sz="0" w:space="0" w:color="auto"/>
        <w:left w:val="none" w:sz="0" w:space="0" w:color="auto"/>
        <w:bottom w:val="none" w:sz="0" w:space="0" w:color="auto"/>
        <w:right w:val="none" w:sz="0" w:space="0" w:color="auto"/>
      </w:divBdr>
    </w:div>
    <w:div w:id="1044476288">
      <w:bodyDiv w:val="1"/>
      <w:marLeft w:val="0"/>
      <w:marRight w:val="0"/>
      <w:marTop w:val="0"/>
      <w:marBottom w:val="0"/>
      <w:divBdr>
        <w:top w:val="none" w:sz="0" w:space="0" w:color="auto"/>
        <w:left w:val="none" w:sz="0" w:space="0" w:color="auto"/>
        <w:bottom w:val="none" w:sz="0" w:space="0" w:color="auto"/>
        <w:right w:val="none" w:sz="0" w:space="0" w:color="auto"/>
      </w:divBdr>
    </w:div>
    <w:div w:id="1252396531">
      <w:bodyDiv w:val="1"/>
      <w:marLeft w:val="0"/>
      <w:marRight w:val="0"/>
      <w:marTop w:val="0"/>
      <w:marBottom w:val="0"/>
      <w:divBdr>
        <w:top w:val="none" w:sz="0" w:space="0" w:color="auto"/>
        <w:left w:val="none" w:sz="0" w:space="0" w:color="auto"/>
        <w:bottom w:val="none" w:sz="0" w:space="0" w:color="auto"/>
        <w:right w:val="none" w:sz="0" w:space="0" w:color="auto"/>
      </w:divBdr>
    </w:div>
    <w:div w:id="1539274638">
      <w:bodyDiv w:val="1"/>
      <w:marLeft w:val="0"/>
      <w:marRight w:val="0"/>
      <w:marTop w:val="0"/>
      <w:marBottom w:val="0"/>
      <w:divBdr>
        <w:top w:val="none" w:sz="0" w:space="0" w:color="auto"/>
        <w:left w:val="none" w:sz="0" w:space="0" w:color="auto"/>
        <w:bottom w:val="none" w:sz="0" w:space="0" w:color="auto"/>
        <w:right w:val="none" w:sz="0" w:space="0" w:color="auto"/>
      </w:divBdr>
    </w:div>
    <w:div w:id="19362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23/Hebdo21/MENE2311700C" TargetMode="External"/><Relationship Id="rId13" Type="http://schemas.openxmlformats.org/officeDocument/2006/relationships/hyperlink" Target="https://www.education.gouv.fr/bo/2023/Hebdo21/MENE2311700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ucation.gouv.fr/le-referentiel-de-competences-des-metiers-du-professorat-et-de-l-education-5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fr/le-referentiel-de-competences-des-metiers-du-professorat-et-de-l-education-5753" TargetMode="External"/><Relationship Id="rId5" Type="http://schemas.openxmlformats.org/officeDocument/2006/relationships/webSettings" Target="webSettings.xml"/><Relationship Id="rId15" Type="http://schemas.openxmlformats.org/officeDocument/2006/relationships/hyperlink" Target="https://www.education.gouv.fr/bo/16/Hebdo43/MENB1633785C.htm?Cookies=true" TargetMode="External"/><Relationship Id="rId10" Type="http://schemas.openxmlformats.org/officeDocument/2006/relationships/hyperlink" Target="https://www.education.gouv.fr/bo/16/Hebdo43/MENB1633785C.htm?Cookies=tr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tion.gouv.fr/bo/16/Hebdo37/MENH1613887C.htm" TargetMode="External"/><Relationship Id="rId14" Type="http://schemas.openxmlformats.org/officeDocument/2006/relationships/hyperlink" Target="https://www.education.gouv.fr/bo/16/Hebdo37/MENH1613887C.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AGNES MILLER</cp:lastModifiedBy>
  <cp:revision>13</cp:revision>
  <dcterms:created xsi:type="dcterms:W3CDTF">2026-01-22T20:45:00Z</dcterms:created>
  <dcterms:modified xsi:type="dcterms:W3CDTF">2026-01-29T16:00:00Z</dcterms:modified>
</cp:coreProperties>
</file>