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2"/>
        <w:tblW w:w="16018" w:type="dxa"/>
        <w:tblInd w:w="-590" w:type="dxa"/>
        <w:tblLook w:val="04A0" w:firstRow="1" w:lastRow="0" w:firstColumn="1" w:lastColumn="0" w:noHBand="0" w:noVBand="1"/>
      </w:tblPr>
      <w:tblGrid>
        <w:gridCol w:w="5443"/>
        <w:gridCol w:w="236"/>
        <w:gridCol w:w="86"/>
        <w:gridCol w:w="6993"/>
        <w:gridCol w:w="236"/>
        <w:gridCol w:w="101"/>
        <w:gridCol w:w="2923"/>
      </w:tblGrid>
      <w:tr w:rsidR="00AC414F" w:rsidRPr="00401CCB" w14:paraId="75457DC7" w14:textId="77777777" w:rsidTr="00F25D01">
        <w:trPr>
          <w:trHeight w:hRule="exact" w:val="1457"/>
        </w:trPr>
        <w:tc>
          <w:tcPr>
            <w:tcW w:w="12758" w:type="dxa"/>
            <w:gridSpan w:val="4"/>
            <w:tcBorders>
              <w:top w:val="single" w:sz="18" w:space="0" w:color="00B5C6"/>
              <w:left w:val="single" w:sz="18" w:space="0" w:color="00B5C6"/>
              <w:bottom w:val="single" w:sz="18" w:space="0" w:color="00B5C6"/>
              <w:right w:val="single" w:sz="18" w:space="0" w:color="00B5C6"/>
            </w:tcBorders>
            <w:shd w:val="clear" w:color="auto" w:fill="auto"/>
          </w:tcPr>
          <w:p w14:paraId="3FE5255F" w14:textId="27DB44A1" w:rsidR="009B360E" w:rsidRDefault="009B360E" w:rsidP="00744498">
            <w:pPr>
              <w:pStyle w:val="Titre2"/>
              <w:numPr>
                <w:ilvl w:val="0"/>
                <w:numId w:val="0"/>
              </w:numPr>
              <w:rPr>
                <w:rFonts w:ascii="Arial" w:hAnsi="Arial" w:cs="Arial"/>
                <w:sz w:val="30"/>
                <w:szCs w:val="30"/>
                <w:lang w:val="fr-FR"/>
              </w:rPr>
            </w:pPr>
            <w:bookmarkStart w:id="1" w:name="_Hlk219631846"/>
            <w:r w:rsidRPr="009B360E">
              <w:rPr>
                <w:rFonts w:ascii="Arial" w:hAnsi="Arial" w:cs="Arial"/>
                <w:sz w:val="30"/>
                <w:szCs w:val="30"/>
                <w:lang w:val="fr-FR"/>
              </w:rPr>
              <w:t>2.1</w:t>
            </w:r>
            <w:r w:rsidR="00C4020D">
              <w:rPr>
                <w:rFonts w:ascii="Arial" w:hAnsi="Arial" w:cs="Arial"/>
                <w:sz w:val="30"/>
                <w:szCs w:val="30"/>
                <w:lang w:val="fr-FR"/>
              </w:rPr>
              <w:t>4</w:t>
            </w:r>
            <w:r w:rsidRPr="009B360E">
              <w:rPr>
                <w:rFonts w:ascii="Arial" w:hAnsi="Arial" w:cs="Arial"/>
                <w:sz w:val="30"/>
                <w:szCs w:val="30"/>
                <w:lang w:val="fr-FR"/>
              </w:rPr>
              <w:t xml:space="preserve"> Proposer des actions de formation continue pour adultes dans un EPLE (1/</w:t>
            </w:r>
            <w:r w:rsidR="00505BAC">
              <w:rPr>
                <w:rFonts w:ascii="Arial" w:hAnsi="Arial" w:cs="Arial"/>
                <w:sz w:val="30"/>
                <w:szCs w:val="30"/>
                <w:lang w:val="fr-FR"/>
              </w:rPr>
              <w:t>4</w:t>
            </w:r>
            <w:r w:rsidRPr="009B360E">
              <w:rPr>
                <w:rFonts w:ascii="Arial" w:hAnsi="Arial" w:cs="Arial"/>
                <w:sz w:val="30"/>
                <w:szCs w:val="30"/>
                <w:lang w:val="fr-FR"/>
              </w:rPr>
              <w:t>)</w:t>
            </w:r>
          </w:p>
          <w:p w14:paraId="6FEC91EC" w14:textId="77777777" w:rsidR="00744498" w:rsidRDefault="009B360E" w:rsidP="00744498">
            <w:pPr>
              <w:pStyle w:val="Titre2"/>
              <w:numPr>
                <w:ilvl w:val="0"/>
                <w:numId w:val="0"/>
              </w:numPr>
              <w:rPr>
                <w:rFonts w:ascii="Arial" w:eastAsia="MS Mincho" w:hAnsi="Arial" w:cs="Arial"/>
                <w:b w:val="0"/>
                <w:color w:val="0000FF"/>
                <w:sz w:val="14"/>
                <w:szCs w:val="14"/>
                <w:u w:val="single"/>
                <w:lang w:val="fr-FR" w:eastAsia="ja-JP"/>
              </w:rPr>
            </w:pPr>
            <w:r w:rsidRPr="009B360E">
              <w:rPr>
                <w:rFonts w:ascii="Arial" w:eastAsia="MS Mincho" w:hAnsi="Arial" w:cs="Arial"/>
                <w:b w:val="0"/>
                <w:bCs w:val="0"/>
                <w:color w:val="auto"/>
                <w:sz w:val="14"/>
                <w:szCs w:val="14"/>
                <w:lang w:val="fr-FR" w:eastAsia="ja-JP"/>
              </w:rPr>
              <w:t xml:space="preserve">Code de l’éducation : </w:t>
            </w:r>
            <w:hyperlink r:id="rId8" w:history="1">
              <w:r w:rsidRPr="009B360E">
                <w:rPr>
                  <w:rFonts w:ascii="Arial" w:eastAsia="MS Mincho" w:hAnsi="Arial" w:cs="Arial"/>
                  <w:b w:val="0"/>
                  <w:bCs w:val="0"/>
                  <w:color w:val="0000FF"/>
                  <w:sz w:val="14"/>
                  <w:szCs w:val="14"/>
                  <w:u w:val="single"/>
                  <w:lang w:val="fr-FR" w:eastAsia="ja-JP"/>
                </w:rPr>
                <w:t>art. D. 122-5 à art. D. 122-7</w:t>
              </w:r>
            </w:hyperlink>
            <w:r w:rsidRPr="009B360E">
              <w:rPr>
                <w:rFonts w:ascii="Arial" w:eastAsia="MS Mincho" w:hAnsi="Arial" w:cs="Arial"/>
                <w:b w:val="0"/>
                <w:bCs w:val="0"/>
                <w:color w:val="auto"/>
                <w:sz w:val="14"/>
                <w:szCs w:val="14"/>
                <w:lang w:val="fr-FR" w:eastAsia="ja-JP"/>
              </w:rPr>
              <w:t xml:space="preserve"> (mission de formation continue des adultes), </w:t>
            </w:r>
            <w:hyperlink r:id="rId9" w:history="1">
              <w:r w:rsidRPr="009B360E">
                <w:rPr>
                  <w:rFonts w:ascii="Arial" w:eastAsia="MS Mincho" w:hAnsi="Arial" w:cs="Arial"/>
                  <w:b w:val="0"/>
                  <w:bCs w:val="0"/>
                  <w:color w:val="0000FF"/>
                  <w:sz w:val="14"/>
                  <w:szCs w:val="14"/>
                  <w:u w:val="single"/>
                  <w:lang w:val="fr-FR" w:eastAsia="ja-JP"/>
                </w:rPr>
                <w:t>art. D122-9-1 et art. D122-9-2</w:t>
              </w:r>
            </w:hyperlink>
            <w:r w:rsidRPr="009B360E">
              <w:rPr>
                <w:rFonts w:ascii="Arial" w:eastAsia="MS Mincho" w:hAnsi="Arial" w:cs="Arial"/>
                <w:b w:val="0"/>
                <w:bCs w:val="0"/>
                <w:color w:val="auto"/>
                <w:sz w:val="14"/>
                <w:szCs w:val="14"/>
                <w:lang w:val="fr-FR" w:eastAsia="ja-JP"/>
              </w:rPr>
              <w:t xml:space="preserve"> (le label qualité « ÉDUFORM »), </w:t>
            </w:r>
            <w:hyperlink r:id="rId10" w:history="1">
              <w:r w:rsidRPr="009B360E">
                <w:rPr>
                  <w:rFonts w:ascii="Arial" w:eastAsia="MS Mincho" w:hAnsi="Arial" w:cs="Arial"/>
                  <w:b w:val="0"/>
                  <w:bCs w:val="0"/>
                  <w:color w:val="0000FF"/>
                  <w:sz w:val="14"/>
                  <w:szCs w:val="14"/>
                  <w:u w:val="single"/>
                  <w:lang w:val="fr-FR" w:eastAsia="ja-JP"/>
                </w:rPr>
                <w:t>art. L. 335-5</w:t>
              </w:r>
            </w:hyperlink>
            <w:r w:rsidRPr="009B360E">
              <w:rPr>
                <w:rFonts w:ascii="Arial" w:eastAsia="MS Mincho" w:hAnsi="Arial" w:cs="Arial"/>
                <w:b w:val="0"/>
                <w:bCs w:val="0"/>
                <w:color w:val="auto"/>
                <w:sz w:val="14"/>
                <w:szCs w:val="14"/>
                <w:lang w:val="fr-FR" w:eastAsia="ja-JP"/>
              </w:rPr>
              <w:t xml:space="preserve"> (VAE) et </w:t>
            </w:r>
            <w:r w:rsidRPr="009B360E">
              <w:rPr>
                <w:rFonts w:ascii="Arial" w:eastAsia="MS Mincho" w:hAnsi="Arial" w:cs="Arial"/>
                <w:b w:val="0"/>
                <w:bCs w:val="0"/>
                <w:color w:val="auto"/>
                <w:sz w:val="14"/>
                <w:szCs w:val="14"/>
                <w:lang w:val="fr-FR" w:eastAsia="ja-JP"/>
              </w:rPr>
              <w:br/>
            </w:r>
            <w:hyperlink r:id="rId11" w:history="1">
              <w:r w:rsidRPr="009B360E">
                <w:rPr>
                  <w:rFonts w:ascii="Arial" w:eastAsia="MS Mincho" w:hAnsi="Arial" w:cs="Arial"/>
                  <w:b w:val="0"/>
                  <w:bCs w:val="0"/>
                  <w:color w:val="0000FF"/>
                  <w:sz w:val="14"/>
                  <w:szCs w:val="14"/>
                  <w:u w:val="single"/>
                  <w:lang w:val="fr-FR" w:eastAsia="ja-JP"/>
                </w:rPr>
                <w:t>art. L. 335-6</w:t>
              </w:r>
            </w:hyperlink>
            <w:r w:rsidRPr="009B360E">
              <w:rPr>
                <w:rFonts w:ascii="Arial" w:eastAsia="MS Mincho" w:hAnsi="Arial" w:cs="Arial"/>
                <w:b w:val="0"/>
                <w:bCs w:val="0"/>
                <w:color w:val="auto"/>
                <w:sz w:val="14"/>
                <w:szCs w:val="14"/>
                <w:lang w:val="fr-FR" w:eastAsia="ja-JP"/>
              </w:rPr>
              <w:t xml:space="preserve"> (RNCP),</w:t>
            </w:r>
            <w:r w:rsidRPr="009B360E">
              <w:rPr>
                <w:rFonts w:ascii="Arial" w:eastAsia="MS Mincho" w:hAnsi="Arial" w:cs="Arial"/>
                <w:b w:val="0"/>
                <w:bCs w:val="0"/>
                <w:color w:val="FF0000"/>
                <w:sz w:val="14"/>
                <w:szCs w:val="14"/>
                <w:lang w:val="fr-FR" w:eastAsia="ja-JP"/>
              </w:rPr>
              <w:t xml:space="preserve"> </w:t>
            </w:r>
            <w:hyperlink r:id="rId12" w:history="1">
              <w:r w:rsidRPr="009B360E">
                <w:rPr>
                  <w:rFonts w:ascii="Arial" w:hAnsi="Arial" w:cs="Arial"/>
                  <w:b w:val="0"/>
                  <w:bCs w:val="0"/>
                  <w:color w:val="0000FF"/>
                  <w:sz w:val="14"/>
                  <w:szCs w:val="14"/>
                  <w:u w:val="single"/>
                  <w:lang w:val="fr-FR" w:eastAsia="ja-JP"/>
                </w:rPr>
                <w:t>Arrêté du 3 juillet 2025</w:t>
              </w:r>
            </w:hyperlink>
            <w:r w:rsidRPr="009B360E">
              <w:rPr>
                <w:rFonts w:ascii="Arial" w:hAnsi="Arial" w:cs="Arial"/>
                <w:b w:val="0"/>
                <w:bCs w:val="0"/>
                <w:color w:val="auto"/>
                <w:sz w:val="14"/>
                <w:szCs w:val="14"/>
                <w:lang w:val="fr-FR" w:eastAsia="ja-JP"/>
              </w:rPr>
              <w:t xml:space="preserve"> (accompagnement des personnes engagées dans un parcours de VAE). </w:t>
            </w:r>
            <w:hyperlink r:id="rId13" w:history="1">
              <w:r w:rsidRPr="009B360E">
                <w:rPr>
                  <w:rFonts w:ascii="Arial" w:eastAsia="MS Mincho" w:hAnsi="Arial" w:cs="Arial"/>
                  <w:b w:val="0"/>
                  <w:bCs w:val="0"/>
                  <w:color w:val="0000FF"/>
                  <w:sz w:val="14"/>
                  <w:szCs w:val="14"/>
                  <w:u w:val="single"/>
                  <w:lang w:val="fr-FR" w:eastAsia="ja-JP"/>
                </w:rPr>
                <w:t>Article D423-1 à D423-11 </w:t>
              </w:r>
            </w:hyperlink>
            <w:r w:rsidRPr="009B360E">
              <w:rPr>
                <w:rFonts w:ascii="Arial" w:eastAsia="MS Mincho" w:hAnsi="Arial" w:cs="Arial"/>
                <w:b w:val="0"/>
                <w:bCs w:val="0"/>
                <w:color w:val="auto"/>
                <w:sz w:val="14"/>
                <w:szCs w:val="14"/>
                <w:lang w:val="fr-FR" w:eastAsia="ja-JP"/>
              </w:rPr>
              <w:t>(possibilité pour les établissements scolaires de constituer un GIP, un Greta) Code du travail, sixième partie : La formation professionnelle tout au long de la vie (</w:t>
            </w:r>
            <w:hyperlink r:id="rId14" w:history="1">
              <w:r w:rsidRPr="009B360E">
                <w:rPr>
                  <w:rFonts w:ascii="Arial" w:eastAsia="MS Mincho" w:hAnsi="Arial" w:cs="Arial"/>
                  <w:b w:val="0"/>
                  <w:bCs w:val="0"/>
                  <w:color w:val="0000FF"/>
                  <w:sz w:val="14"/>
                  <w:szCs w:val="14"/>
                  <w:u w:val="single"/>
                  <w:lang w:val="fr-FR" w:eastAsia="ja-JP"/>
                </w:rPr>
                <w:t>Articles L6111-1 à L6523-7</w:t>
              </w:r>
            </w:hyperlink>
            <w:r w:rsidRPr="009B360E">
              <w:rPr>
                <w:rFonts w:ascii="Arial" w:eastAsia="MS Mincho" w:hAnsi="Arial" w:cs="Arial"/>
                <w:b w:val="0"/>
                <w:bCs w:val="0"/>
                <w:color w:val="auto"/>
                <w:sz w:val="14"/>
                <w:szCs w:val="14"/>
                <w:lang w:val="fr-FR" w:eastAsia="ja-JP"/>
              </w:rPr>
              <w:t xml:space="preserve">). </w:t>
            </w:r>
            <w:r w:rsidRPr="009B360E">
              <w:rPr>
                <w:rFonts w:ascii="Arial" w:eastAsia="MS Mincho" w:hAnsi="Arial" w:cs="Arial"/>
                <w:b w:val="0"/>
                <w:color w:val="auto"/>
                <w:sz w:val="14"/>
                <w:szCs w:val="14"/>
                <w:lang w:val="fr-FR" w:eastAsia="ja-JP"/>
              </w:rPr>
              <w:t xml:space="preserve">Conventions constitutives des GIP : </w:t>
            </w:r>
            <w:hyperlink r:id="rId15" w:history="1">
              <w:r w:rsidRPr="009B360E">
                <w:rPr>
                  <w:rFonts w:ascii="Arial" w:eastAsia="MS Mincho" w:hAnsi="Arial" w:cs="Arial"/>
                  <w:b w:val="0"/>
                  <w:color w:val="0000FF"/>
                  <w:sz w:val="14"/>
                  <w:szCs w:val="14"/>
                  <w:u w:val="single"/>
                  <w:lang w:val="fr-FR" w:eastAsia="ja-JP"/>
                </w:rPr>
                <w:t>loi n° 2011-525 du 17 mai 2011</w:t>
              </w:r>
            </w:hyperlink>
            <w:r w:rsidRPr="009B360E">
              <w:rPr>
                <w:rFonts w:ascii="Arial" w:eastAsia="MS Mincho" w:hAnsi="Arial" w:cs="Arial"/>
                <w:b w:val="0"/>
                <w:color w:val="0000FF"/>
                <w:sz w:val="14"/>
                <w:szCs w:val="14"/>
                <w:u w:val="single"/>
                <w:lang w:val="fr-FR" w:eastAsia="ja-JP"/>
              </w:rPr>
              <w:t xml:space="preserve"> de simplification et d'amélioration de la qualité du droit, chapitre II</w:t>
            </w:r>
            <w:r w:rsidRPr="009B360E">
              <w:rPr>
                <w:rFonts w:ascii="Arial" w:eastAsia="MS Mincho" w:hAnsi="Arial" w:cs="Arial"/>
                <w:b w:val="0"/>
                <w:color w:val="0000FF"/>
                <w:sz w:val="14"/>
                <w:szCs w:val="14"/>
                <w:lang w:val="fr-FR" w:eastAsia="ja-JP"/>
              </w:rPr>
              <w:t xml:space="preserve"> et </w:t>
            </w:r>
            <w:hyperlink r:id="rId16" w:history="1">
              <w:r w:rsidRPr="009B360E">
                <w:rPr>
                  <w:rFonts w:ascii="Arial" w:eastAsia="MS Mincho" w:hAnsi="Arial" w:cs="Arial"/>
                  <w:b w:val="0"/>
                  <w:color w:val="0000FF"/>
                  <w:sz w:val="14"/>
                  <w:szCs w:val="14"/>
                  <w:u w:val="single"/>
                  <w:lang w:val="fr-FR" w:eastAsia="ja-JP"/>
                </w:rPr>
                <w:t>circulaire n° 2013-077</w:t>
              </w:r>
            </w:hyperlink>
            <w:r w:rsidRPr="009B360E">
              <w:rPr>
                <w:rFonts w:ascii="Arial" w:eastAsia="MS Mincho" w:hAnsi="Arial" w:cs="Arial"/>
                <w:b w:val="0"/>
                <w:color w:val="FF0000"/>
                <w:sz w:val="14"/>
                <w:szCs w:val="14"/>
                <w:lang w:val="fr-FR" w:eastAsia="ja-JP"/>
              </w:rPr>
              <w:t xml:space="preserve"> </w:t>
            </w:r>
            <w:r w:rsidRPr="009B360E">
              <w:rPr>
                <w:rFonts w:ascii="Arial" w:eastAsia="MS Mincho" w:hAnsi="Arial" w:cs="Arial"/>
                <w:b w:val="0"/>
                <w:color w:val="auto"/>
                <w:sz w:val="14"/>
                <w:szCs w:val="14"/>
                <w:lang w:val="fr-FR" w:eastAsia="ja-JP"/>
              </w:rPr>
              <w:t>du 6 mai 2013 relative à l’organisation et au fonctionnement des GIP-FCIP. Conventions constitutives des Greta </w:t>
            </w:r>
            <w:r w:rsidRPr="009B360E">
              <w:rPr>
                <w:rFonts w:ascii="Arial" w:eastAsia="MS Mincho" w:hAnsi="Arial" w:cs="Arial"/>
                <w:b w:val="0"/>
                <w:color w:val="0000FF"/>
                <w:sz w:val="14"/>
                <w:szCs w:val="14"/>
                <w:lang w:val="fr-FR" w:eastAsia="ja-JP"/>
              </w:rPr>
              <w:t xml:space="preserve">: </w:t>
            </w:r>
            <w:hyperlink r:id="rId17" w:anchor="LEGISCTA000027993060" w:history="1">
              <w:r w:rsidRPr="009B360E">
                <w:rPr>
                  <w:rFonts w:ascii="Arial" w:eastAsia="MS Mincho" w:hAnsi="Arial" w:cs="Arial"/>
                  <w:b w:val="0"/>
                  <w:color w:val="0000FF"/>
                  <w:sz w:val="14"/>
                  <w:szCs w:val="14"/>
                  <w:u w:val="single"/>
                  <w:lang w:val="fr-FR" w:eastAsia="ja-JP"/>
                </w:rPr>
                <w:t xml:space="preserve">articles D423-1 à D423-12 </w:t>
              </w:r>
            </w:hyperlink>
            <w:r w:rsidRPr="009B360E">
              <w:rPr>
                <w:rFonts w:ascii="Arial" w:eastAsia="MS Mincho" w:hAnsi="Arial" w:cs="Arial"/>
                <w:b w:val="0"/>
                <w:color w:val="0000FF"/>
                <w:sz w:val="14"/>
                <w:szCs w:val="14"/>
                <w:u w:val="single"/>
                <w:lang w:val="fr-FR" w:eastAsia="ja-JP"/>
              </w:rPr>
              <w:t>du code de l’éducation</w:t>
            </w:r>
            <w:r w:rsidRPr="009B360E">
              <w:rPr>
                <w:rFonts w:ascii="Arial" w:eastAsia="MS Mincho" w:hAnsi="Arial" w:cs="Arial"/>
                <w:b w:val="0"/>
                <w:color w:val="0000FF"/>
                <w:sz w:val="14"/>
                <w:szCs w:val="14"/>
                <w:lang w:val="fr-FR" w:eastAsia="ja-JP"/>
              </w:rPr>
              <w:t xml:space="preserve"> et </w:t>
            </w:r>
            <w:hyperlink r:id="rId18" w:history="1">
              <w:r w:rsidRPr="009B360E">
                <w:rPr>
                  <w:rFonts w:ascii="Arial" w:eastAsia="MS Mincho" w:hAnsi="Arial" w:cs="Arial"/>
                  <w:b w:val="0"/>
                  <w:color w:val="0000FF"/>
                  <w:sz w:val="14"/>
                  <w:szCs w:val="14"/>
                  <w:u w:val="single"/>
                  <w:lang w:val="fr-FR" w:eastAsia="ja-JP"/>
                </w:rPr>
                <w:t xml:space="preserve">circulaire n° 2014-009 du 4-2-2014 </w:t>
              </w:r>
            </w:hyperlink>
            <w:r w:rsidRPr="009B360E">
              <w:rPr>
                <w:rFonts w:ascii="Arial" w:eastAsia="MS Mincho" w:hAnsi="Arial" w:cs="Arial"/>
                <w:b w:val="0"/>
                <w:color w:val="0000FF"/>
                <w:sz w:val="14"/>
                <w:szCs w:val="14"/>
                <w:u w:val="single"/>
                <w:lang w:val="fr-FR" w:eastAsia="ja-JP"/>
              </w:rPr>
              <w:t>relative à l’organisation et au fonctionnement des Greta.</w:t>
            </w:r>
          </w:p>
          <w:p w14:paraId="3B0F9B2F" w14:textId="1FD18879" w:rsidR="009B360E" w:rsidRPr="009B360E" w:rsidRDefault="009B360E" w:rsidP="009B360E">
            <w:pPr>
              <w:pStyle w:val="Sansinterligne"/>
            </w:pPr>
          </w:p>
        </w:tc>
        <w:tc>
          <w:tcPr>
            <w:tcW w:w="337" w:type="dxa"/>
            <w:gridSpan w:val="2"/>
            <w:tcBorders>
              <w:top w:val="nil"/>
              <w:left w:val="single" w:sz="18" w:space="0" w:color="00B5C6"/>
              <w:bottom w:val="nil"/>
              <w:right w:val="nil"/>
            </w:tcBorders>
            <w:shd w:val="clear" w:color="auto" w:fill="auto"/>
          </w:tcPr>
          <w:p w14:paraId="60C14020" w14:textId="77777777" w:rsidR="00FC266A" w:rsidRPr="00401CCB" w:rsidRDefault="00FC266A" w:rsidP="00865865">
            <w:pPr>
              <w:rPr>
                <w:rFonts w:asciiTheme="minorHAnsi" w:hAnsiTheme="minorHAnsi"/>
                <w:sz w:val="17"/>
                <w:szCs w:val="17"/>
              </w:rPr>
            </w:pPr>
          </w:p>
        </w:tc>
        <w:tc>
          <w:tcPr>
            <w:tcW w:w="2923" w:type="dxa"/>
            <w:tcBorders>
              <w:top w:val="nil"/>
              <w:left w:val="nil"/>
              <w:bottom w:val="nil"/>
              <w:right w:val="nil"/>
            </w:tcBorders>
            <w:shd w:val="clear" w:color="auto" w:fill="auto"/>
            <w:vAlign w:val="center"/>
          </w:tcPr>
          <w:p w14:paraId="70C5F499" w14:textId="77777777" w:rsidR="00FC266A" w:rsidRPr="00401CCB" w:rsidRDefault="00FC266A" w:rsidP="000A6FED">
            <w:pPr>
              <w:ind w:left="-283"/>
              <w:jc w:val="center"/>
              <w:rPr>
                <w:rFonts w:asciiTheme="minorHAnsi" w:hAnsiTheme="minorHAnsi"/>
                <w:b/>
                <w:color w:val="FFFFFF"/>
                <w:sz w:val="24"/>
                <w:szCs w:val="24"/>
              </w:rPr>
            </w:pPr>
            <w:r w:rsidRPr="00401CCB">
              <w:rPr>
                <w:noProof/>
                <w:lang w:eastAsia="fr-FR"/>
              </w:rPr>
              <w:drawing>
                <wp:inline distT="0" distB="0" distL="0" distR="0" wp14:anchorId="7D25D58E" wp14:editId="2F7EB5C1">
                  <wp:extent cx="1438275" cy="571502"/>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8F12CE" w:rsidRPr="00401CCB" w14:paraId="1407D6CA" w14:textId="77777777" w:rsidTr="00F25D01">
        <w:trPr>
          <w:trHeight w:val="57"/>
        </w:trPr>
        <w:tc>
          <w:tcPr>
            <w:tcW w:w="5443" w:type="dxa"/>
            <w:tcBorders>
              <w:top w:val="nil"/>
              <w:left w:val="nil"/>
              <w:bottom w:val="single" w:sz="24" w:space="0" w:color="951B81"/>
              <w:right w:val="nil"/>
            </w:tcBorders>
            <w:shd w:val="clear" w:color="auto" w:fill="auto"/>
          </w:tcPr>
          <w:p w14:paraId="05F7203A" w14:textId="77777777" w:rsidR="00FC266A" w:rsidRPr="00401CCB" w:rsidRDefault="00FC266A" w:rsidP="00865865">
            <w:pPr>
              <w:rPr>
                <w:rFonts w:asciiTheme="minorHAnsi" w:hAnsiTheme="minorHAnsi"/>
                <w:b/>
                <w:color w:val="FFFFFF"/>
                <w:sz w:val="8"/>
                <w:szCs w:val="8"/>
              </w:rPr>
            </w:pPr>
          </w:p>
        </w:tc>
        <w:tc>
          <w:tcPr>
            <w:tcW w:w="322" w:type="dxa"/>
            <w:gridSpan w:val="2"/>
            <w:tcBorders>
              <w:top w:val="nil"/>
              <w:left w:val="nil"/>
              <w:bottom w:val="nil"/>
              <w:right w:val="nil"/>
            </w:tcBorders>
            <w:shd w:val="clear" w:color="auto" w:fill="auto"/>
          </w:tcPr>
          <w:p w14:paraId="749BF7F5" w14:textId="77777777" w:rsidR="00FC266A" w:rsidRPr="00401CCB" w:rsidRDefault="00FC266A" w:rsidP="00865865">
            <w:pPr>
              <w:rPr>
                <w:rFonts w:asciiTheme="minorHAnsi" w:hAnsiTheme="minorHAnsi"/>
                <w:sz w:val="8"/>
                <w:szCs w:val="8"/>
              </w:rPr>
            </w:pPr>
          </w:p>
        </w:tc>
        <w:tc>
          <w:tcPr>
            <w:tcW w:w="6993" w:type="dxa"/>
            <w:tcBorders>
              <w:top w:val="nil"/>
              <w:left w:val="nil"/>
              <w:bottom w:val="single" w:sz="24" w:space="0" w:color="2AAC66"/>
              <w:right w:val="nil"/>
            </w:tcBorders>
            <w:shd w:val="clear" w:color="auto" w:fill="auto"/>
          </w:tcPr>
          <w:p w14:paraId="1E845643" w14:textId="77777777" w:rsidR="00FC266A" w:rsidRPr="00401CCB" w:rsidRDefault="00FC266A" w:rsidP="00865865">
            <w:pPr>
              <w:rPr>
                <w:rFonts w:asciiTheme="minorHAnsi" w:hAnsiTheme="minorHAnsi"/>
                <w:b/>
                <w:color w:val="FFFFFF"/>
                <w:sz w:val="8"/>
                <w:szCs w:val="8"/>
              </w:rPr>
            </w:pPr>
          </w:p>
        </w:tc>
        <w:tc>
          <w:tcPr>
            <w:tcW w:w="337" w:type="dxa"/>
            <w:gridSpan w:val="2"/>
            <w:tcBorders>
              <w:top w:val="nil"/>
              <w:left w:val="nil"/>
              <w:bottom w:val="nil"/>
              <w:right w:val="nil"/>
            </w:tcBorders>
            <w:shd w:val="clear" w:color="auto" w:fill="auto"/>
          </w:tcPr>
          <w:p w14:paraId="55EDFD50" w14:textId="77777777" w:rsidR="00FC266A" w:rsidRPr="00401CCB" w:rsidRDefault="00FC266A" w:rsidP="00865865">
            <w:pPr>
              <w:rPr>
                <w:rFonts w:asciiTheme="minorHAnsi" w:hAnsiTheme="minorHAnsi"/>
                <w:sz w:val="8"/>
                <w:szCs w:val="8"/>
              </w:rPr>
            </w:pPr>
          </w:p>
        </w:tc>
        <w:tc>
          <w:tcPr>
            <w:tcW w:w="2923" w:type="dxa"/>
            <w:tcBorders>
              <w:top w:val="nil"/>
              <w:left w:val="nil"/>
              <w:bottom w:val="single" w:sz="24" w:space="0" w:color="EE7444"/>
              <w:right w:val="nil"/>
            </w:tcBorders>
            <w:shd w:val="clear" w:color="auto" w:fill="auto"/>
          </w:tcPr>
          <w:p w14:paraId="261BD003" w14:textId="77777777" w:rsidR="00FC266A" w:rsidRPr="00401CCB" w:rsidRDefault="00FC266A" w:rsidP="00865865">
            <w:pPr>
              <w:rPr>
                <w:rFonts w:asciiTheme="minorHAnsi" w:hAnsiTheme="minorHAnsi"/>
                <w:b/>
                <w:color w:val="FFFFFF"/>
                <w:sz w:val="8"/>
                <w:szCs w:val="8"/>
              </w:rPr>
            </w:pPr>
          </w:p>
        </w:tc>
      </w:tr>
      <w:tr w:rsidR="008F12CE" w:rsidRPr="00401CCB" w14:paraId="07196ED3" w14:textId="77777777" w:rsidTr="00F25D01">
        <w:trPr>
          <w:trHeight w:hRule="exact" w:val="573"/>
        </w:trPr>
        <w:tc>
          <w:tcPr>
            <w:tcW w:w="5443" w:type="dxa"/>
            <w:tcBorders>
              <w:top w:val="single" w:sz="24" w:space="0" w:color="951B81"/>
              <w:left w:val="single" w:sz="24" w:space="0" w:color="951B81"/>
              <w:bottom w:val="single" w:sz="24" w:space="0" w:color="951B81"/>
              <w:right w:val="single" w:sz="24" w:space="0" w:color="951B81"/>
            </w:tcBorders>
            <w:shd w:val="pct20" w:color="951B81" w:fill="auto"/>
          </w:tcPr>
          <w:p w14:paraId="0BC7B2BE" w14:textId="77777777" w:rsidR="00FC266A" w:rsidRPr="00401CCB" w:rsidRDefault="00FC266A" w:rsidP="00865865">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0720CEB6" w14:textId="77777777" w:rsidR="00FC266A" w:rsidRPr="00401CCB" w:rsidRDefault="00FC266A" w:rsidP="00865865">
            <w:pPr>
              <w:rPr>
                <w:rFonts w:ascii="Arial" w:hAnsi="Arial" w:cs="Arial"/>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10A6CBA0" w14:textId="0F5D4CA7" w:rsidR="00FC266A" w:rsidRPr="00401CCB" w:rsidRDefault="00FC266A" w:rsidP="00865865">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9DE72BE" w14:textId="77777777" w:rsidR="00FC266A" w:rsidRPr="00401CCB" w:rsidRDefault="00FC266A" w:rsidP="00865865">
            <w:pPr>
              <w:rPr>
                <w:rFonts w:ascii="Arial" w:hAnsi="Arial" w:cs="Arial"/>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15E4D704" w14:textId="4FCCA4C9" w:rsidR="00FC266A" w:rsidRPr="00401CCB" w:rsidRDefault="00FC266A" w:rsidP="00865865">
            <w:pPr>
              <w:rPr>
                <w:rFonts w:ascii="Arial" w:hAnsi="Arial" w:cs="Arial"/>
                <w:b/>
                <w:color w:val="FFFFFF"/>
                <w:sz w:val="44"/>
                <w:szCs w:val="44"/>
              </w:rPr>
            </w:pPr>
            <w:r w:rsidRPr="00401CCB">
              <w:rPr>
                <w:rFonts w:ascii="Arial" w:hAnsi="Arial" w:cs="Arial"/>
                <w:b/>
                <w:color w:val="EE7444"/>
                <w:sz w:val="44"/>
                <w:szCs w:val="44"/>
              </w:rPr>
              <w:t xml:space="preserve">Check </w:t>
            </w:r>
            <w:r w:rsidR="005F3EF7" w:rsidRPr="00401CCB">
              <w:rPr>
                <w:rFonts w:ascii="Arial" w:hAnsi="Arial" w:cs="Arial"/>
                <w:color w:val="EE7444"/>
                <w:sz w:val="24"/>
                <w:szCs w:val="24"/>
              </w:rPr>
              <w:t>Évaluer</w:t>
            </w:r>
          </w:p>
        </w:tc>
      </w:tr>
      <w:tr w:rsidR="008F12CE" w:rsidRPr="00401CCB" w14:paraId="179E3F19" w14:textId="77777777" w:rsidTr="00F25D01">
        <w:trPr>
          <w:trHeight w:hRule="exact" w:val="7803"/>
        </w:trPr>
        <w:tc>
          <w:tcPr>
            <w:tcW w:w="5443" w:type="dxa"/>
            <w:tcBorders>
              <w:top w:val="single" w:sz="24" w:space="0" w:color="951B81"/>
              <w:left w:val="single" w:sz="24" w:space="0" w:color="951B81"/>
              <w:bottom w:val="single" w:sz="24" w:space="0" w:color="951B81"/>
              <w:right w:val="single" w:sz="24" w:space="0" w:color="951B81"/>
            </w:tcBorders>
          </w:tcPr>
          <w:p w14:paraId="7C61EAAE" w14:textId="65E188AD" w:rsidR="00FC266A" w:rsidRPr="00401CCB" w:rsidRDefault="00FC266A" w:rsidP="009A7A62">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50AB5109" w14:textId="77777777" w:rsidR="008F12CE" w:rsidRPr="008F12CE" w:rsidRDefault="008F12CE" w:rsidP="009A7A62">
            <w:pPr>
              <w:widowControl w:val="0"/>
              <w:spacing w:after="100"/>
              <w:rPr>
                <w:rFonts w:ascii="Arial" w:eastAsia="MS Mincho" w:hAnsi="Arial" w:cs="Arial"/>
                <w:sz w:val="18"/>
                <w:szCs w:val="18"/>
              </w:rPr>
            </w:pPr>
            <w:r w:rsidRPr="008F12CE">
              <w:rPr>
                <w:rFonts w:ascii="Arial" w:eastAsia="MS Mincho" w:hAnsi="Arial" w:cs="Arial"/>
                <w:sz w:val="18"/>
                <w:szCs w:val="18"/>
              </w:rPr>
              <w:t>Tout EPLE peut développer une offre de formation professionnelle continue, en cohérence avec la stratégie de région académique et en prenant en compte la réalité du bassin d’emploi et du marché concurrentiel de la formation professionnelle continue. Les EPLE doivent s’appuyer sur les GIP FCIP et Greta (ci-après désignés comme « groupements ») pour l’analyse des besoins et l’accompagnement de l’ingénierie de formation en prenant en compte les enjeux actuels des transitions numérique et écologique. Les groupements prennent également en charge le portage et l’ingénierie financière.</w:t>
            </w:r>
          </w:p>
          <w:p w14:paraId="5750AF65" w14:textId="77777777" w:rsidR="008F12CE" w:rsidRPr="008F12CE" w:rsidRDefault="008F12CE" w:rsidP="009A7A62">
            <w:pPr>
              <w:widowControl w:val="0"/>
              <w:spacing w:after="100"/>
              <w:rPr>
                <w:rFonts w:ascii="Arial" w:eastAsia="MS Mincho" w:hAnsi="Arial" w:cs="Arial"/>
                <w:sz w:val="18"/>
                <w:szCs w:val="18"/>
              </w:rPr>
            </w:pPr>
            <w:r w:rsidRPr="008F12CE">
              <w:rPr>
                <w:rFonts w:ascii="Arial" w:eastAsia="MS Mincho" w:hAnsi="Arial" w:cs="Arial"/>
                <w:sz w:val="18"/>
                <w:szCs w:val="18"/>
              </w:rPr>
              <w:t xml:space="preserve">Développer des actions de formation continue et informer sur la validation des acquis de l’expérience (VAE), voie de certification basée sur les acquis de l’expérience, permet à l’établissement de devenir un acteur de l’orientation, de la formation et de l’insertion professionnelles pour tous les publics. La mixité de publics qui en résulte apporte une ouverture aux élèves et apprentis sur la formation tout au long de la vie, grâce à la présence en EPLE d’adultes qui bénéficient de formations dans le cadre de la formation professionnelle continue ou d’un parcours de VAE.  Elle permet également aux équipes pédagogiques de développer de nouvelles compétences qui viennent enrichir leurs pratiques. </w:t>
            </w:r>
          </w:p>
          <w:p w14:paraId="4D658976" w14:textId="77777777" w:rsidR="008F12CE" w:rsidRPr="008F12CE" w:rsidRDefault="008F12CE" w:rsidP="009A7A62">
            <w:pPr>
              <w:widowControl w:val="0"/>
              <w:spacing w:after="100"/>
              <w:rPr>
                <w:rFonts w:ascii="Arial" w:eastAsia="MS Mincho" w:hAnsi="Arial" w:cs="Arial"/>
                <w:sz w:val="18"/>
                <w:szCs w:val="18"/>
              </w:rPr>
            </w:pPr>
            <w:r w:rsidRPr="008F12CE">
              <w:rPr>
                <w:rFonts w:ascii="Arial" w:eastAsia="MS Mincho" w:hAnsi="Arial" w:cs="Arial"/>
                <w:sz w:val="18"/>
                <w:szCs w:val="18"/>
              </w:rPr>
              <w:t>Le chef d’établissement est garant de la mise en œuvre de l’action, dans les conditions prévues par les conventions constitutives des groupements (GIP et GRETA) ainsi que du contrat passé par celui-ci avec les financeurs et les stagiaires.</w:t>
            </w:r>
          </w:p>
          <w:p w14:paraId="253D622D" w14:textId="77777777" w:rsidR="008F12CE" w:rsidRDefault="008F12CE"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l’établissement conduit-il une réflexion globale sur son offre de formation professionnelle intégrant les formations initiales (scolaires ou par apprentissage) et continue ? Dans quelles instances, avec quels acteurs ?</w:t>
            </w:r>
          </w:p>
          <w:p w14:paraId="537505FA" w14:textId="226C0660" w:rsidR="00FC266A" w:rsidRPr="008F12CE" w:rsidRDefault="008F12CE"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l’offre de formation continue des adultes s’intègre-t-elle dans le projet et les activités de l’établissement ? avec quelles stratégies ? quels objectifs ?</w:t>
            </w:r>
          </w:p>
        </w:tc>
        <w:tc>
          <w:tcPr>
            <w:tcW w:w="236" w:type="dxa"/>
            <w:tcBorders>
              <w:top w:val="nil"/>
              <w:left w:val="single" w:sz="24" w:space="0" w:color="951B81"/>
              <w:bottom w:val="nil"/>
              <w:right w:val="single" w:sz="24" w:space="0" w:color="2AAC66"/>
            </w:tcBorders>
          </w:tcPr>
          <w:p w14:paraId="4B732FE5" w14:textId="77777777" w:rsidR="00FC266A" w:rsidRPr="00401CCB" w:rsidRDefault="00FC266A" w:rsidP="00865865">
            <w:pPr>
              <w:rPr>
                <w:rFonts w:asciiTheme="minorHAnsi" w:hAnsiTheme="minorHAnsi"/>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tcPr>
          <w:p w14:paraId="17AA2807" w14:textId="455C7F61" w:rsidR="00FC266A" w:rsidRPr="00401CCB" w:rsidRDefault="00FC266A" w:rsidP="009A7A62">
            <w:pPr>
              <w:widowControl w:val="0"/>
              <w:tabs>
                <w:tab w:val="left" w:pos="323"/>
              </w:tabs>
              <w:spacing w:before="60" w:after="120"/>
              <w:ind w:right="41"/>
              <w:rPr>
                <w:rFonts w:ascii="Arial" w:hAnsi="Arial" w:cs="Arial"/>
                <w:b/>
                <w:color w:val="2AAC66"/>
              </w:rPr>
            </w:pPr>
            <w:r w:rsidRPr="00401CCB">
              <w:rPr>
                <w:rFonts w:ascii="Arial" w:hAnsi="Arial" w:cs="Arial"/>
                <w:b/>
                <w:color w:val="2AAC66"/>
              </w:rPr>
              <w:t>Acteurs – Actions – Mo</w:t>
            </w:r>
            <w:r w:rsidRPr="006D79C1">
              <w:rPr>
                <w:rFonts w:ascii="Arial" w:hAnsi="Arial" w:cs="Arial"/>
                <w:b/>
                <w:color w:val="2AAC66"/>
              </w:rPr>
              <w:t>yen</w:t>
            </w:r>
            <w:r w:rsidRPr="00401CCB">
              <w:rPr>
                <w:rFonts w:ascii="Arial" w:hAnsi="Arial" w:cs="Arial"/>
                <w:b/>
                <w:color w:val="2AAC66"/>
              </w:rPr>
              <w:t>s – Temps</w:t>
            </w:r>
          </w:p>
          <w:p w14:paraId="75BEFB9A" w14:textId="5BE1723A" w:rsidR="00AC414F" w:rsidRPr="00496A06" w:rsidRDefault="006D79C1" w:rsidP="009A7A62">
            <w:pPr>
              <w:widowControl w:val="0"/>
              <w:tabs>
                <w:tab w:val="left" w:pos="323"/>
              </w:tabs>
              <w:spacing w:after="60"/>
              <w:ind w:right="41"/>
              <w:rPr>
                <w:rFonts w:ascii="Arial" w:hAnsi="Arial" w:cs="Arial"/>
                <w:b/>
                <w:bCs/>
                <w:color w:val="2AAC66"/>
                <w:sz w:val="18"/>
                <w:szCs w:val="18"/>
              </w:rPr>
            </w:pPr>
            <w:r w:rsidRPr="00496A06">
              <w:rPr>
                <w:rFonts w:ascii="Arial" w:hAnsi="Arial" w:cs="Arial"/>
                <w:b/>
                <w:bCs/>
                <w:color w:val="2AAC66"/>
                <w:sz w:val="18"/>
                <w:szCs w:val="18"/>
              </w:rPr>
              <w:t>Gouvernance</w:t>
            </w:r>
            <w:r w:rsidR="008F12CE">
              <w:rPr>
                <w:rFonts w:ascii="Arial" w:hAnsi="Arial" w:cs="Arial"/>
                <w:b/>
                <w:bCs/>
                <w:color w:val="2AAC66"/>
                <w:sz w:val="18"/>
                <w:szCs w:val="18"/>
              </w:rPr>
              <w:t xml:space="preserve"> et stratégie</w:t>
            </w:r>
          </w:p>
          <w:p w14:paraId="58C16E1D" w14:textId="059C583C" w:rsidR="008F12CE"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 xml:space="preserve">L’établissement est-il adhérent </w:t>
            </w:r>
            <w:proofErr w:type="gramStart"/>
            <w:r w:rsidRPr="008F12CE">
              <w:rPr>
                <w:rFonts w:ascii="Arial" w:hAnsi="Arial" w:cs="Arial"/>
                <w:sz w:val="18"/>
                <w:szCs w:val="18"/>
              </w:rPr>
              <w:t>d’un</w:t>
            </w:r>
            <w:r w:rsidR="003C3596">
              <w:rPr>
                <w:rFonts w:ascii="Arial" w:hAnsi="Arial" w:cs="Arial"/>
                <w:sz w:val="18"/>
                <w:szCs w:val="18"/>
              </w:rPr>
              <w:t xml:space="preserve"> </w:t>
            </w:r>
            <w:r w:rsidRPr="008F12CE">
              <w:rPr>
                <w:rFonts w:ascii="Arial" w:hAnsi="Arial" w:cs="Arial"/>
                <w:sz w:val="18"/>
                <w:szCs w:val="18"/>
              </w:rPr>
              <w:t>Greta</w:t>
            </w:r>
            <w:proofErr w:type="gramEnd"/>
            <w:r w:rsidRPr="008F12CE">
              <w:rPr>
                <w:rFonts w:ascii="Arial" w:hAnsi="Arial" w:cs="Arial"/>
                <w:sz w:val="18"/>
                <w:szCs w:val="18"/>
              </w:rPr>
              <w:t xml:space="preserve"> ou d’un GIP FCIP Greta (ci-après désignés comme « groupements ») ? Quel rôle et quelles missions l’établissement assure-t-il dans le cadre de la formation continue des adultes ? En quoi l’établissement est-il un membre actif du groupement ?</w:t>
            </w:r>
          </w:p>
          <w:p w14:paraId="0FAA2DB3" w14:textId="77777777" w:rsidR="008F12CE"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Comment l’établissement, en tant que site de réalisation, collabore-t-il avec le groupement auquel il appartient ou souhaite adhérer pour identifier les besoins en formation et définir la stratégie de développement de l’offre de formation mise en œuvre en son sein ? Quels acteurs de l’établissement sont associés à cette réflexion ?</w:t>
            </w:r>
          </w:p>
          <w:p w14:paraId="0EA7D35E" w14:textId="77777777" w:rsidR="008F12CE"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 xml:space="preserve">En fonction de la stratégie définie, quelles actions de formation continue sont portées par l’établissement ? </w:t>
            </w:r>
          </w:p>
          <w:p w14:paraId="57647E7C" w14:textId="77777777" w:rsidR="008F12CE"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 xml:space="preserve">Quelle complémentarité existe-t-il entre l’action de formation professionnelle continue envisagée et le reste de l’offre de formation dans l’établissement ? Quel est le degré de nouveauté à prendre en compte pour sa mise en œuvre (première action de formation continue ou de VAE dans l’EPLE, nouveau diplôme, action innovante…) ? </w:t>
            </w:r>
          </w:p>
          <w:p w14:paraId="455543DF" w14:textId="77777777" w:rsidR="008F12CE"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Comment les rôles et responsabilités nécessaires à la mise en œuvre de l’offre de formation continue au sein de l’établissement sont-ils répartis entre les différents acteurs internes (équipe de direction, secrétaire général ou agent comptable, DDFPT, RBDE, professeurs…) ?</w:t>
            </w:r>
          </w:p>
          <w:p w14:paraId="7319A045" w14:textId="77777777" w:rsidR="008F12CE"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Comment s’articulent-ils avec les missions portées par les personnels du groupement (coordonnateurs administratifs et pédagogiques, animateurs qualité…), les conseillers en formation professionnelle et les conseillers VAE ?</w:t>
            </w:r>
          </w:p>
          <w:p w14:paraId="556D56CA" w14:textId="25EE57F3" w:rsidR="006D79C1" w:rsidRPr="008F12CE" w:rsidRDefault="008F12CE" w:rsidP="009A7A62">
            <w:pPr>
              <w:pStyle w:val="Paragraphedeliste"/>
              <w:widowControl w:val="0"/>
              <w:numPr>
                <w:ilvl w:val="0"/>
                <w:numId w:val="9"/>
              </w:numPr>
              <w:tabs>
                <w:tab w:val="left" w:pos="323"/>
              </w:tabs>
              <w:ind w:left="358" w:right="41"/>
              <w:rPr>
                <w:rFonts w:ascii="Arial" w:hAnsi="Arial" w:cs="Arial"/>
                <w:sz w:val="18"/>
                <w:szCs w:val="18"/>
              </w:rPr>
            </w:pPr>
            <w:r w:rsidRPr="008F12CE">
              <w:rPr>
                <w:rFonts w:ascii="Arial" w:hAnsi="Arial" w:cs="Arial"/>
                <w:sz w:val="18"/>
                <w:szCs w:val="18"/>
              </w:rPr>
              <w:t xml:space="preserve">Les exigences en matière de qualité de la formation professionnelle </w:t>
            </w:r>
            <w:proofErr w:type="gramStart"/>
            <w:r w:rsidRPr="008F12CE">
              <w:rPr>
                <w:rFonts w:ascii="Arial" w:hAnsi="Arial" w:cs="Arial"/>
                <w:sz w:val="18"/>
                <w:szCs w:val="18"/>
              </w:rPr>
              <w:t>continue</w:t>
            </w:r>
            <w:proofErr w:type="gramEnd"/>
            <w:r w:rsidRPr="008F12CE">
              <w:rPr>
                <w:rFonts w:ascii="Arial" w:hAnsi="Arial" w:cs="Arial"/>
                <w:sz w:val="18"/>
                <w:szCs w:val="18"/>
              </w:rPr>
              <w:t xml:space="preserve">, portées par le groupement, sont-elles bien prises en compte ? quelle démarche est mise en œuvre en ce sens* ? </w:t>
            </w:r>
          </w:p>
        </w:tc>
        <w:tc>
          <w:tcPr>
            <w:tcW w:w="236" w:type="dxa"/>
            <w:tcBorders>
              <w:top w:val="nil"/>
              <w:left w:val="single" w:sz="24" w:space="0" w:color="2AAC66"/>
              <w:bottom w:val="nil"/>
              <w:right w:val="single" w:sz="24" w:space="0" w:color="EE7444"/>
            </w:tcBorders>
          </w:tcPr>
          <w:p w14:paraId="5EA7726D" w14:textId="77777777" w:rsidR="00FC266A" w:rsidRPr="00401CCB" w:rsidRDefault="00FC266A" w:rsidP="00865865">
            <w:pPr>
              <w:rPr>
                <w:rFonts w:asciiTheme="minorHAnsi" w:hAnsiTheme="minorHAnsi"/>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tcPr>
          <w:p w14:paraId="34159E0A" w14:textId="77777777" w:rsidR="004B73D9" w:rsidRPr="00401CCB" w:rsidRDefault="004B73D9" w:rsidP="004B73D9">
            <w:pPr>
              <w:spacing w:before="60"/>
              <w:ind w:left="79"/>
              <w:rPr>
                <w:rFonts w:ascii="Arial" w:hAnsi="Arial" w:cs="Arial"/>
                <w:b/>
                <w:color w:val="EE7444"/>
              </w:rPr>
            </w:pPr>
            <w:r w:rsidRPr="00401CCB">
              <w:rPr>
                <w:rFonts w:ascii="Arial" w:hAnsi="Arial" w:cs="Arial"/>
                <w:b/>
                <w:color w:val="EE7444"/>
              </w:rPr>
              <w:t xml:space="preserve">Exemples d’indicateurs </w:t>
            </w:r>
          </w:p>
          <w:p w14:paraId="3C5CA21A" w14:textId="77777777" w:rsidR="004B73D9" w:rsidRPr="00401CCB" w:rsidRDefault="004B73D9" w:rsidP="004B73D9">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16A3569F" w14:textId="77777777" w:rsidR="008F12CE" w:rsidRPr="008F12CE" w:rsidRDefault="008F12CE" w:rsidP="008F12CE">
            <w:pPr>
              <w:widowControl w:val="0"/>
              <w:tabs>
                <w:tab w:val="left" w:pos="323"/>
              </w:tabs>
              <w:spacing w:after="60"/>
              <w:ind w:left="78" w:right="170"/>
              <w:rPr>
                <w:rFonts w:ascii="Arial" w:eastAsia="MS Mincho" w:hAnsi="Arial" w:cs="Arial"/>
                <w:sz w:val="18"/>
                <w:szCs w:val="18"/>
              </w:rPr>
            </w:pPr>
            <w:r w:rsidRPr="008F12CE">
              <w:rPr>
                <w:rFonts w:ascii="Arial" w:eastAsia="MS Mincho" w:hAnsi="Arial" w:cs="Arial"/>
                <w:sz w:val="18"/>
                <w:szCs w:val="18"/>
              </w:rPr>
              <w:t>Fréquence de la participation de l’établissement aux instances du groupement</w:t>
            </w:r>
          </w:p>
          <w:p w14:paraId="133EBFC5" w14:textId="77777777" w:rsidR="008F12CE" w:rsidRPr="008F12CE" w:rsidRDefault="008F12CE" w:rsidP="008F12CE">
            <w:pPr>
              <w:widowControl w:val="0"/>
              <w:tabs>
                <w:tab w:val="left" w:pos="323"/>
              </w:tabs>
              <w:spacing w:after="60"/>
              <w:ind w:left="78" w:right="170"/>
              <w:rPr>
                <w:rFonts w:ascii="Arial" w:eastAsia="MS Mincho" w:hAnsi="Arial" w:cs="Arial"/>
                <w:sz w:val="18"/>
                <w:szCs w:val="18"/>
              </w:rPr>
            </w:pPr>
            <w:r w:rsidRPr="008F12CE">
              <w:rPr>
                <w:rFonts w:ascii="Arial" w:eastAsia="MS Mincho" w:hAnsi="Arial" w:cs="Arial"/>
                <w:sz w:val="18"/>
                <w:szCs w:val="18"/>
              </w:rPr>
              <w:t>Prise de responsabilités de l’établissement dans le groupement et ses instances</w:t>
            </w:r>
          </w:p>
          <w:p w14:paraId="694FB045" w14:textId="77777777" w:rsidR="008F12CE" w:rsidRPr="008F12CE" w:rsidRDefault="008F12CE" w:rsidP="008F12CE">
            <w:pPr>
              <w:widowControl w:val="0"/>
              <w:tabs>
                <w:tab w:val="left" w:pos="323"/>
              </w:tabs>
              <w:spacing w:after="60"/>
              <w:ind w:left="78" w:right="170"/>
              <w:rPr>
                <w:rFonts w:ascii="Arial" w:eastAsia="MS Mincho" w:hAnsi="Arial" w:cs="Arial"/>
                <w:sz w:val="18"/>
                <w:szCs w:val="18"/>
              </w:rPr>
            </w:pPr>
            <w:r w:rsidRPr="008F12CE">
              <w:rPr>
                <w:rFonts w:ascii="Arial" w:eastAsia="MS Mincho" w:hAnsi="Arial" w:cs="Arial"/>
                <w:sz w:val="18"/>
                <w:szCs w:val="18"/>
              </w:rPr>
              <w:t>Fréquence de la présence de personnels administratifs du groupement dans l’EPLE</w:t>
            </w:r>
          </w:p>
          <w:p w14:paraId="312A40C0" w14:textId="1E0E5849" w:rsidR="008F12CE" w:rsidRDefault="008F12CE" w:rsidP="008F12CE">
            <w:pPr>
              <w:widowControl w:val="0"/>
              <w:tabs>
                <w:tab w:val="left" w:pos="323"/>
              </w:tabs>
              <w:spacing w:after="60"/>
              <w:ind w:left="78" w:right="170"/>
              <w:rPr>
                <w:rFonts w:ascii="Arial" w:eastAsia="MS Mincho" w:hAnsi="Arial" w:cs="Arial"/>
                <w:sz w:val="18"/>
                <w:szCs w:val="18"/>
              </w:rPr>
            </w:pPr>
            <w:r w:rsidRPr="008F12CE">
              <w:rPr>
                <w:rFonts w:ascii="Arial" w:eastAsia="MS Mincho" w:hAnsi="Arial" w:cs="Arial"/>
                <w:sz w:val="18"/>
                <w:szCs w:val="18"/>
              </w:rPr>
              <w:t>Part de l’activité de formation continue de l’établissement dans le chiffre d’affaires du groupement</w:t>
            </w:r>
          </w:p>
          <w:p w14:paraId="62E1FAB4" w14:textId="30AA6A72" w:rsidR="009926C1" w:rsidRPr="008F12CE" w:rsidRDefault="009926C1" w:rsidP="008F12CE">
            <w:pPr>
              <w:widowControl w:val="0"/>
              <w:tabs>
                <w:tab w:val="left" w:pos="323"/>
              </w:tabs>
              <w:spacing w:after="60"/>
              <w:ind w:left="78" w:right="170"/>
              <w:rPr>
                <w:rFonts w:ascii="Arial" w:eastAsia="MS Mincho" w:hAnsi="Arial" w:cs="Arial"/>
                <w:sz w:val="18"/>
                <w:szCs w:val="18"/>
              </w:rPr>
            </w:pPr>
            <w:r w:rsidRPr="009926C1">
              <w:rPr>
                <w:rFonts w:ascii="Arial" w:eastAsia="MS Mincho" w:hAnsi="Arial" w:cs="Arial"/>
                <w:sz w:val="18"/>
                <w:szCs w:val="18"/>
              </w:rPr>
              <w:t>Typologie, nature et nombre des actions de formation continue dispensées au sein de l’établissement.</w:t>
            </w:r>
          </w:p>
          <w:p w14:paraId="3D02DEFD" w14:textId="77777777" w:rsidR="008F12CE" w:rsidRPr="008F12CE" w:rsidRDefault="008F12CE" w:rsidP="008F12CE">
            <w:pPr>
              <w:widowControl w:val="0"/>
              <w:tabs>
                <w:tab w:val="left" w:pos="323"/>
              </w:tabs>
              <w:spacing w:after="60"/>
              <w:ind w:left="78" w:right="170"/>
              <w:rPr>
                <w:rFonts w:ascii="Arial" w:eastAsia="MS Mincho" w:hAnsi="Arial" w:cs="Arial"/>
                <w:sz w:val="18"/>
                <w:szCs w:val="18"/>
              </w:rPr>
            </w:pPr>
            <w:r w:rsidRPr="008F12CE">
              <w:rPr>
                <w:rFonts w:ascii="Arial" w:eastAsia="MS Mincho" w:hAnsi="Arial" w:cs="Arial"/>
                <w:sz w:val="18"/>
                <w:szCs w:val="18"/>
              </w:rPr>
              <w:t>Points forts, non-conformités, pistes d’amélioration issues des rapports d’audit ou de contrôle du groupement qui ont concerné des formations dispensées dans l’établissement</w:t>
            </w:r>
          </w:p>
          <w:p w14:paraId="496DE2AF" w14:textId="528A170E" w:rsidR="00BE65D0" w:rsidRPr="00401CCB" w:rsidRDefault="00BE65D0" w:rsidP="002E49DE">
            <w:pPr>
              <w:widowControl w:val="0"/>
              <w:tabs>
                <w:tab w:val="left" w:pos="323"/>
              </w:tabs>
              <w:spacing w:after="60"/>
              <w:ind w:left="78" w:right="170"/>
              <w:rPr>
                <w:rFonts w:ascii="Arial" w:eastAsia="MS Mincho" w:hAnsi="Arial" w:cs="Arial"/>
                <w:sz w:val="18"/>
                <w:szCs w:val="18"/>
              </w:rPr>
            </w:pPr>
          </w:p>
        </w:tc>
      </w:tr>
      <w:bookmarkEnd w:id="1"/>
    </w:tbl>
    <w:p w14:paraId="76C61CED" w14:textId="77777777" w:rsidR="00401CCB" w:rsidRPr="00780F39" w:rsidRDefault="00401CCB" w:rsidP="00401CCB">
      <w:pPr>
        <w:rPr>
          <w:sz w:val="10"/>
          <w:szCs w:val="10"/>
        </w:rPr>
      </w:pPr>
    </w:p>
    <w:tbl>
      <w:tblPr>
        <w:tblStyle w:val="Grilledutableau2"/>
        <w:tblW w:w="16018" w:type="dxa"/>
        <w:tblInd w:w="-590" w:type="dxa"/>
        <w:tblLook w:val="04A0" w:firstRow="1" w:lastRow="0" w:firstColumn="1" w:lastColumn="0" w:noHBand="0" w:noVBand="1"/>
      </w:tblPr>
      <w:tblGrid>
        <w:gridCol w:w="5443"/>
        <w:gridCol w:w="236"/>
        <w:gridCol w:w="86"/>
        <w:gridCol w:w="6993"/>
        <w:gridCol w:w="236"/>
        <w:gridCol w:w="101"/>
        <w:gridCol w:w="2923"/>
      </w:tblGrid>
      <w:tr w:rsidR="00780F39" w:rsidRPr="00401CCB" w14:paraId="63D43A27" w14:textId="77777777" w:rsidTr="00410FCE">
        <w:trPr>
          <w:trHeight w:hRule="exact" w:val="1457"/>
        </w:trPr>
        <w:tc>
          <w:tcPr>
            <w:tcW w:w="12758" w:type="dxa"/>
            <w:gridSpan w:val="4"/>
            <w:tcBorders>
              <w:top w:val="single" w:sz="18" w:space="0" w:color="00B5C6"/>
              <w:left w:val="single" w:sz="18" w:space="0" w:color="00B5C6"/>
              <w:bottom w:val="single" w:sz="18" w:space="0" w:color="00B5C6"/>
              <w:right w:val="single" w:sz="18" w:space="0" w:color="00B5C6"/>
            </w:tcBorders>
            <w:shd w:val="clear" w:color="auto" w:fill="auto"/>
          </w:tcPr>
          <w:p w14:paraId="0C309DB1" w14:textId="7454A796" w:rsidR="00780F39" w:rsidRDefault="00780F39" w:rsidP="00410FCE">
            <w:pPr>
              <w:pStyle w:val="Titre2"/>
              <w:numPr>
                <w:ilvl w:val="0"/>
                <w:numId w:val="0"/>
              </w:numPr>
              <w:rPr>
                <w:rFonts w:ascii="Arial" w:hAnsi="Arial" w:cs="Arial"/>
                <w:sz w:val="30"/>
                <w:szCs w:val="30"/>
                <w:lang w:val="fr-FR"/>
              </w:rPr>
            </w:pPr>
            <w:r w:rsidRPr="009B360E">
              <w:rPr>
                <w:rFonts w:ascii="Arial" w:hAnsi="Arial" w:cs="Arial"/>
                <w:sz w:val="30"/>
                <w:szCs w:val="30"/>
                <w:lang w:val="fr-FR"/>
              </w:rPr>
              <w:lastRenderedPageBreak/>
              <w:t>2.1</w:t>
            </w:r>
            <w:r>
              <w:rPr>
                <w:rFonts w:ascii="Arial" w:hAnsi="Arial" w:cs="Arial"/>
                <w:sz w:val="30"/>
                <w:szCs w:val="30"/>
                <w:lang w:val="fr-FR"/>
              </w:rPr>
              <w:t>4</w:t>
            </w:r>
            <w:r w:rsidRPr="009B360E">
              <w:rPr>
                <w:rFonts w:ascii="Arial" w:hAnsi="Arial" w:cs="Arial"/>
                <w:sz w:val="30"/>
                <w:szCs w:val="30"/>
                <w:lang w:val="fr-FR"/>
              </w:rPr>
              <w:t xml:space="preserve"> Proposer des actions de formation continue pour adultes dans un EPLE (</w:t>
            </w:r>
            <w:r w:rsidR="00505BAC">
              <w:rPr>
                <w:rFonts w:ascii="Arial" w:hAnsi="Arial" w:cs="Arial"/>
                <w:sz w:val="30"/>
                <w:szCs w:val="30"/>
                <w:lang w:val="fr-FR"/>
              </w:rPr>
              <w:t>2</w:t>
            </w:r>
            <w:r w:rsidRPr="009B360E">
              <w:rPr>
                <w:rFonts w:ascii="Arial" w:hAnsi="Arial" w:cs="Arial"/>
                <w:sz w:val="30"/>
                <w:szCs w:val="30"/>
                <w:lang w:val="fr-FR"/>
              </w:rPr>
              <w:t>/</w:t>
            </w:r>
            <w:r w:rsidR="00505BAC">
              <w:rPr>
                <w:rFonts w:ascii="Arial" w:hAnsi="Arial" w:cs="Arial"/>
                <w:sz w:val="30"/>
                <w:szCs w:val="30"/>
                <w:lang w:val="fr-FR"/>
              </w:rPr>
              <w:t>4</w:t>
            </w:r>
            <w:r w:rsidRPr="009B360E">
              <w:rPr>
                <w:rFonts w:ascii="Arial" w:hAnsi="Arial" w:cs="Arial"/>
                <w:sz w:val="30"/>
                <w:szCs w:val="30"/>
                <w:lang w:val="fr-FR"/>
              </w:rPr>
              <w:t>)</w:t>
            </w:r>
          </w:p>
          <w:p w14:paraId="401E4F5D" w14:textId="77777777" w:rsidR="00780F39" w:rsidRDefault="00780F39" w:rsidP="00410FCE">
            <w:pPr>
              <w:pStyle w:val="Titre2"/>
              <w:numPr>
                <w:ilvl w:val="0"/>
                <w:numId w:val="0"/>
              </w:numPr>
              <w:rPr>
                <w:rFonts w:ascii="Arial" w:eastAsia="MS Mincho" w:hAnsi="Arial" w:cs="Arial"/>
                <w:b w:val="0"/>
                <w:color w:val="0000FF"/>
                <w:sz w:val="14"/>
                <w:szCs w:val="14"/>
                <w:u w:val="single"/>
                <w:lang w:val="fr-FR" w:eastAsia="ja-JP"/>
              </w:rPr>
            </w:pPr>
            <w:r w:rsidRPr="009B360E">
              <w:rPr>
                <w:rFonts w:ascii="Arial" w:eastAsia="MS Mincho" w:hAnsi="Arial" w:cs="Arial"/>
                <w:b w:val="0"/>
                <w:bCs w:val="0"/>
                <w:color w:val="auto"/>
                <w:sz w:val="14"/>
                <w:szCs w:val="14"/>
                <w:lang w:val="fr-FR" w:eastAsia="ja-JP"/>
              </w:rPr>
              <w:t xml:space="preserve">Code de l’éducation : </w:t>
            </w:r>
            <w:hyperlink r:id="rId20" w:history="1">
              <w:r w:rsidRPr="009B360E">
                <w:rPr>
                  <w:rFonts w:ascii="Arial" w:eastAsia="MS Mincho" w:hAnsi="Arial" w:cs="Arial"/>
                  <w:b w:val="0"/>
                  <w:bCs w:val="0"/>
                  <w:color w:val="0000FF"/>
                  <w:sz w:val="14"/>
                  <w:szCs w:val="14"/>
                  <w:u w:val="single"/>
                  <w:lang w:val="fr-FR" w:eastAsia="ja-JP"/>
                </w:rPr>
                <w:t>art. D. 122-5 à art. D. 122-7</w:t>
              </w:r>
            </w:hyperlink>
            <w:r w:rsidRPr="009B360E">
              <w:rPr>
                <w:rFonts w:ascii="Arial" w:eastAsia="MS Mincho" w:hAnsi="Arial" w:cs="Arial"/>
                <w:b w:val="0"/>
                <w:bCs w:val="0"/>
                <w:color w:val="auto"/>
                <w:sz w:val="14"/>
                <w:szCs w:val="14"/>
                <w:lang w:val="fr-FR" w:eastAsia="ja-JP"/>
              </w:rPr>
              <w:t xml:space="preserve"> (mission de formation continue des adultes), </w:t>
            </w:r>
            <w:hyperlink r:id="rId21" w:history="1">
              <w:r w:rsidRPr="009B360E">
                <w:rPr>
                  <w:rFonts w:ascii="Arial" w:eastAsia="MS Mincho" w:hAnsi="Arial" w:cs="Arial"/>
                  <w:b w:val="0"/>
                  <w:bCs w:val="0"/>
                  <w:color w:val="0000FF"/>
                  <w:sz w:val="14"/>
                  <w:szCs w:val="14"/>
                  <w:u w:val="single"/>
                  <w:lang w:val="fr-FR" w:eastAsia="ja-JP"/>
                </w:rPr>
                <w:t>art. D122-9-1 et art. D122-9-2</w:t>
              </w:r>
            </w:hyperlink>
            <w:r w:rsidRPr="009B360E">
              <w:rPr>
                <w:rFonts w:ascii="Arial" w:eastAsia="MS Mincho" w:hAnsi="Arial" w:cs="Arial"/>
                <w:b w:val="0"/>
                <w:bCs w:val="0"/>
                <w:color w:val="auto"/>
                <w:sz w:val="14"/>
                <w:szCs w:val="14"/>
                <w:lang w:val="fr-FR" w:eastAsia="ja-JP"/>
              </w:rPr>
              <w:t xml:space="preserve"> (le label qualité « ÉDUFORM »), </w:t>
            </w:r>
            <w:hyperlink r:id="rId22" w:history="1">
              <w:r w:rsidRPr="009B360E">
                <w:rPr>
                  <w:rFonts w:ascii="Arial" w:eastAsia="MS Mincho" w:hAnsi="Arial" w:cs="Arial"/>
                  <w:b w:val="0"/>
                  <w:bCs w:val="0"/>
                  <w:color w:val="0000FF"/>
                  <w:sz w:val="14"/>
                  <w:szCs w:val="14"/>
                  <w:u w:val="single"/>
                  <w:lang w:val="fr-FR" w:eastAsia="ja-JP"/>
                </w:rPr>
                <w:t>art. L. 335-5</w:t>
              </w:r>
            </w:hyperlink>
            <w:r w:rsidRPr="009B360E">
              <w:rPr>
                <w:rFonts w:ascii="Arial" w:eastAsia="MS Mincho" w:hAnsi="Arial" w:cs="Arial"/>
                <w:b w:val="0"/>
                <w:bCs w:val="0"/>
                <w:color w:val="auto"/>
                <w:sz w:val="14"/>
                <w:szCs w:val="14"/>
                <w:lang w:val="fr-FR" w:eastAsia="ja-JP"/>
              </w:rPr>
              <w:t xml:space="preserve"> (VAE) et </w:t>
            </w:r>
            <w:r w:rsidRPr="009B360E">
              <w:rPr>
                <w:rFonts w:ascii="Arial" w:eastAsia="MS Mincho" w:hAnsi="Arial" w:cs="Arial"/>
                <w:b w:val="0"/>
                <w:bCs w:val="0"/>
                <w:color w:val="auto"/>
                <w:sz w:val="14"/>
                <w:szCs w:val="14"/>
                <w:lang w:val="fr-FR" w:eastAsia="ja-JP"/>
              </w:rPr>
              <w:br/>
            </w:r>
            <w:hyperlink r:id="rId23" w:history="1">
              <w:r w:rsidRPr="009B360E">
                <w:rPr>
                  <w:rFonts w:ascii="Arial" w:eastAsia="MS Mincho" w:hAnsi="Arial" w:cs="Arial"/>
                  <w:b w:val="0"/>
                  <w:bCs w:val="0"/>
                  <w:color w:val="0000FF"/>
                  <w:sz w:val="14"/>
                  <w:szCs w:val="14"/>
                  <w:u w:val="single"/>
                  <w:lang w:val="fr-FR" w:eastAsia="ja-JP"/>
                </w:rPr>
                <w:t>art. L. 335-6</w:t>
              </w:r>
            </w:hyperlink>
            <w:r w:rsidRPr="009B360E">
              <w:rPr>
                <w:rFonts w:ascii="Arial" w:eastAsia="MS Mincho" w:hAnsi="Arial" w:cs="Arial"/>
                <w:b w:val="0"/>
                <w:bCs w:val="0"/>
                <w:color w:val="auto"/>
                <w:sz w:val="14"/>
                <w:szCs w:val="14"/>
                <w:lang w:val="fr-FR" w:eastAsia="ja-JP"/>
              </w:rPr>
              <w:t xml:space="preserve"> (RNCP),</w:t>
            </w:r>
            <w:r w:rsidRPr="009B360E">
              <w:rPr>
                <w:rFonts w:ascii="Arial" w:eastAsia="MS Mincho" w:hAnsi="Arial" w:cs="Arial"/>
                <w:b w:val="0"/>
                <w:bCs w:val="0"/>
                <w:color w:val="FF0000"/>
                <w:sz w:val="14"/>
                <w:szCs w:val="14"/>
                <w:lang w:val="fr-FR" w:eastAsia="ja-JP"/>
              </w:rPr>
              <w:t xml:space="preserve"> </w:t>
            </w:r>
            <w:hyperlink r:id="rId24" w:history="1">
              <w:r w:rsidRPr="009B360E">
                <w:rPr>
                  <w:rFonts w:ascii="Arial" w:hAnsi="Arial" w:cs="Arial"/>
                  <w:b w:val="0"/>
                  <w:bCs w:val="0"/>
                  <w:color w:val="0000FF"/>
                  <w:sz w:val="14"/>
                  <w:szCs w:val="14"/>
                  <w:u w:val="single"/>
                  <w:lang w:val="fr-FR" w:eastAsia="ja-JP"/>
                </w:rPr>
                <w:t>Arrêté du 3 juillet 2025</w:t>
              </w:r>
            </w:hyperlink>
            <w:r w:rsidRPr="009B360E">
              <w:rPr>
                <w:rFonts w:ascii="Arial" w:hAnsi="Arial" w:cs="Arial"/>
                <w:b w:val="0"/>
                <w:bCs w:val="0"/>
                <w:color w:val="auto"/>
                <w:sz w:val="14"/>
                <w:szCs w:val="14"/>
                <w:lang w:val="fr-FR" w:eastAsia="ja-JP"/>
              </w:rPr>
              <w:t xml:space="preserve"> (accompagnement des personnes engagées dans un parcours de VAE). </w:t>
            </w:r>
            <w:hyperlink r:id="rId25" w:history="1">
              <w:r w:rsidRPr="009B360E">
                <w:rPr>
                  <w:rFonts w:ascii="Arial" w:eastAsia="MS Mincho" w:hAnsi="Arial" w:cs="Arial"/>
                  <w:b w:val="0"/>
                  <w:bCs w:val="0"/>
                  <w:color w:val="0000FF"/>
                  <w:sz w:val="14"/>
                  <w:szCs w:val="14"/>
                  <w:u w:val="single"/>
                  <w:lang w:val="fr-FR" w:eastAsia="ja-JP"/>
                </w:rPr>
                <w:t>Article D423-1 à D423-11 </w:t>
              </w:r>
            </w:hyperlink>
            <w:r w:rsidRPr="009B360E">
              <w:rPr>
                <w:rFonts w:ascii="Arial" w:eastAsia="MS Mincho" w:hAnsi="Arial" w:cs="Arial"/>
                <w:b w:val="0"/>
                <w:bCs w:val="0"/>
                <w:color w:val="auto"/>
                <w:sz w:val="14"/>
                <w:szCs w:val="14"/>
                <w:lang w:val="fr-FR" w:eastAsia="ja-JP"/>
              </w:rPr>
              <w:t>(possibilité pour les établissements scolaires de constituer un GIP, un Greta) Code du travail, sixième partie : La formation professionnelle tout au long de la vie (</w:t>
            </w:r>
            <w:hyperlink r:id="rId26" w:history="1">
              <w:r w:rsidRPr="009B360E">
                <w:rPr>
                  <w:rFonts w:ascii="Arial" w:eastAsia="MS Mincho" w:hAnsi="Arial" w:cs="Arial"/>
                  <w:b w:val="0"/>
                  <w:bCs w:val="0"/>
                  <w:color w:val="0000FF"/>
                  <w:sz w:val="14"/>
                  <w:szCs w:val="14"/>
                  <w:u w:val="single"/>
                  <w:lang w:val="fr-FR" w:eastAsia="ja-JP"/>
                </w:rPr>
                <w:t>Articles L6111-1 à L6523-7</w:t>
              </w:r>
            </w:hyperlink>
            <w:r w:rsidRPr="009B360E">
              <w:rPr>
                <w:rFonts w:ascii="Arial" w:eastAsia="MS Mincho" w:hAnsi="Arial" w:cs="Arial"/>
                <w:b w:val="0"/>
                <w:bCs w:val="0"/>
                <w:color w:val="auto"/>
                <w:sz w:val="14"/>
                <w:szCs w:val="14"/>
                <w:lang w:val="fr-FR" w:eastAsia="ja-JP"/>
              </w:rPr>
              <w:t xml:space="preserve">). </w:t>
            </w:r>
            <w:r w:rsidRPr="009B360E">
              <w:rPr>
                <w:rFonts w:ascii="Arial" w:eastAsia="MS Mincho" w:hAnsi="Arial" w:cs="Arial"/>
                <w:b w:val="0"/>
                <w:color w:val="auto"/>
                <w:sz w:val="14"/>
                <w:szCs w:val="14"/>
                <w:lang w:val="fr-FR" w:eastAsia="ja-JP"/>
              </w:rPr>
              <w:t xml:space="preserve">Conventions constitutives des GIP : </w:t>
            </w:r>
            <w:hyperlink r:id="rId27" w:history="1">
              <w:r w:rsidRPr="009B360E">
                <w:rPr>
                  <w:rFonts w:ascii="Arial" w:eastAsia="MS Mincho" w:hAnsi="Arial" w:cs="Arial"/>
                  <w:b w:val="0"/>
                  <w:color w:val="0000FF"/>
                  <w:sz w:val="14"/>
                  <w:szCs w:val="14"/>
                  <w:u w:val="single"/>
                  <w:lang w:val="fr-FR" w:eastAsia="ja-JP"/>
                </w:rPr>
                <w:t>loi n° 2011-525 du 17 mai 2011</w:t>
              </w:r>
            </w:hyperlink>
            <w:r w:rsidRPr="009B360E">
              <w:rPr>
                <w:rFonts w:ascii="Arial" w:eastAsia="MS Mincho" w:hAnsi="Arial" w:cs="Arial"/>
                <w:b w:val="0"/>
                <w:color w:val="0000FF"/>
                <w:sz w:val="14"/>
                <w:szCs w:val="14"/>
                <w:u w:val="single"/>
                <w:lang w:val="fr-FR" w:eastAsia="ja-JP"/>
              </w:rPr>
              <w:t xml:space="preserve"> de simplification et d'amélioration de la qualité du droit, chapitre II</w:t>
            </w:r>
            <w:r w:rsidRPr="009B360E">
              <w:rPr>
                <w:rFonts w:ascii="Arial" w:eastAsia="MS Mincho" w:hAnsi="Arial" w:cs="Arial"/>
                <w:b w:val="0"/>
                <w:color w:val="0000FF"/>
                <w:sz w:val="14"/>
                <w:szCs w:val="14"/>
                <w:lang w:val="fr-FR" w:eastAsia="ja-JP"/>
              </w:rPr>
              <w:t xml:space="preserve"> et </w:t>
            </w:r>
            <w:hyperlink r:id="rId28" w:history="1">
              <w:r w:rsidRPr="009B360E">
                <w:rPr>
                  <w:rFonts w:ascii="Arial" w:eastAsia="MS Mincho" w:hAnsi="Arial" w:cs="Arial"/>
                  <w:b w:val="0"/>
                  <w:color w:val="0000FF"/>
                  <w:sz w:val="14"/>
                  <w:szCs w:val="14"/>
                  <w:u w:val="single"/>
                  <w:lang w:val="fr-FR" w:eastAsia="ja-JP"/>
                </w:rPr>
                <w:t>circulaire n° 2013-077</w:t>
              </w:r>
            </w:hyperlink>
            <w:r w:rsidRPr="009B360E">
              <w:rPr>
                <w:rFonts w:ascii="Arial" w:eastAsia="MS Mincho" w:hAnsi="Arial" w:cs="Arial"/>
                <w:b w:val="0"/>
                <w:color w:val="FF0000"/>
                <w:sz w:val="14"/>
                <w:szCs w:val="14"/>
                <w:lang w:val="fr-FR" w:eastAsia="ja-JP"/>
              </w:rPr>
              <w:t xml:space="preserve"> </w:t>
            </w:r>
            <w:r w:rsidRPr="009B360E">
              <w:rPr>
                <w:rFonts w:ascii="Arial" w:eastAsia="MS Mincho" w:hAnsi="Arial" w:cs="Arial"/>
                <w:b w:val="0"/>
                <w:color w:val="auto"/>
                <w:sz w:val="14"/>
                <w:szCs w:val="14"/>
                <w:lang w:val="fr-FR" w:eastAsia="ja-JP"/>
              </w:rPr>
              <w:t>du 6 mai 2013 relative à l’organisation et au fonctionnement des GIP-FCIP. Conventions constitutives des Greta </w:t>
            </w:r>
            <w:r w:rsidRPr="009B360E">
              <w:rPr>
                <w:rFonts w:ascii="Arial" w:eastAsia="MS Mincho" w:hAnsi="Arial" w:cs="Arial"/>
                <w:b w:val="0"/>
                <w:color w:val="0000FF"/>
                <w:sz w:val="14"/>
                <w:szCs w:val="14"/>
                <w:lang w:val="fr-FR" w:eastAsia="ja-JP"/>
              </w:rPr>
              <w:t xml:space="preserve">: </w:t>
            </w:r>
            <w:hyperlink r:id="rId29" w:anchor="LEGISCTA000027993060" w:history="1">
              <w:r w:rsidRPr="009B360E">
                <w:rPr>
                  <w:rFonts w:ascii="Arial" w:eastAsia="MS Mincho" w:hAnsi="Arial" w:cs="Arial"/>
                  <w:b w:val="0"/>
                  <w:color w:val="0000FF"/>
                  <w:sz w:val="14"/>
                  <w:szCs w:val="14"/>
                  <w:u w:val="single"/>
                  <w:lang w:val="fr-FR" w:eastAsia="ja-JP"/>
                </w:rPr>
                <w:t xml:space="preserve">articles D423-1 à D423-12 </w:t>
              </w:r>
            </w:hyperlink>
            <w:r w:rsidRPr="009B360E">
              <w:rPr>
                <w:rFonts w:ascii="Arial" w:eastAsia="MS Mincho" w:hAnsi="Arial" w:cs="Arial"/>
                <w:b w:val="0"/>
                <w:color w:val="0000FF"/>
                <w:sz w:val="14"/>
                <w:szCs w:val="14"/>
                <w:u w:val="single"/>
                <w:lang w:val="fr-FR" w:eastAsia="ja-JP"/>
              </w:rPr>
              <w:t>du code de l’éducation</w:t>
            </w:r>
            <w:r w:rsidRPr="009B360E">
              <w:rPr>
                <w:rFonts w:ascii="Arial" w:eastAsia="MS Mincho" w:hAnsi="Arial" w:cs="Arial"/>
                <w:b w:val="0"/>
                <w:color w:val="0000FF"/>
                <w:sz w:val="14"/>
                <w:szCs w:val="14"/>
                <w:lang w:val="fr-FR" w:eastAsia="ja-JP"/>
              </w:rPr>
              <w:t xml:space="preserve"> et </w:t>
            </w:r>
            <w:hyperlink r:id="rId30" w:history="1">
              <w:r w:rsidRPr="009B360E">
                <w:rPr>
                  <w:rFonts w:ascii="Arial" w:eastAsia="MS Mincho" w:hAnsi="Arial" w:cs="Arial"/>
                  <w:b w:val="0"/>
                  <w:color w:val="0000FF"/>
                  <w:sz w:val="14"/>
                  <w:szCs w:val="14"/>
                  <w:u w:val="single"/>
                  <w:lang w:val="fr-FR" w:eastAsia="ja-JP"/>
                </w:rPr>
                <w:t xml:space="preserve">circulaire n° 2014-009 du 4-2-2014 </w:t>
              </w:r>
            </w:hyperlink>
            <w:r w:rsidRPr="009B360E">
              <w:rPr>
                <w:rFonts w:ascii="Arial" w:eastAsia="MS Mincho" w:hAnsi="Arial" w:cs="Arial"/>
                <w:b w:val="0"/>
                <w:color w:val="0000FF"/>
                <w:sz w:val="14"/>
                <w:szCs w:val="14"/>
                <w:u w:val="single"/>
                <w:lang w:val="fr-FR" w:eastAsia="ja-JP"/>
              </w:rPr>
              <w:t>relative à l’organisation et au fonctionnement des Greta.</w:t>
            </w:r>
          </w:p>
          <w:p w14:paraId="65D7883C" w14:textId="77777777" w:rsidR="00780F39" w:rsidRPr="009B360E" w:rsidRDefault="00780F39" w:rsidP="00410FCE">
            <w:pPr>
              <w:pStyle w:val="Sansinterligne"/>
            </w:pPr>
          </w:p>
        </w:tc>
        <w:tc>
          <w:tcPr>
            <w:tcW w:w="337" w:type="dxa"/>
            <w:gridSpan w:val="2"/>
            <w:tcBorders>
              <w:top w:val="nil"/>
              <w:left w:val="single" w:sz="18" w:space="0" w:color="00B5C6"/>
              <w:bottom w:val="nil"/>
              <w:right w:val="nil"/>
            </w:tcBorders>
            <w:shd w:val="clear" w:color="auto" w:fill="auto"/>
          </w:tcPr>
          <w:p w14:paraId="189263C1" w14:textId="77777777" w:rsidR="00780F39" w:rsidRPr="00401CCB" w:rsidRDefault="00780F39" w:rsidP="00410FCE">
            <w:pPr>
              <w:rPr>
                <w:rFonts w:asciiTheme="minorHAnsi" w:hAnsiTheme="minorHAnsi"/>
                <w:sz w:val="17"/>
                <w:szCs w:val="17"/>
              </w:rPr>
            </w:pPr>
          </w:p>
        </w:tc>
        <w:tc>
          <w:tcPr>
            <w:tcW w:w="2923" w:type="dxa"/>
            <w:tcBorders>
              <w:top w:val="nil"/>
              <w:left w:val="nil"/>
              <w:bottom w:val="nil"/>
              <w:right w:val="nil"/>
            </w:tcBorders>
            <w:shd w:val="clear" w:color="auto" w:fill="auto"/>
            <w:vAlign w:val="center"/>
          </w:tcPr>
          <w:p w14:paraId="4309A38D" w14:textId="77777777" w:rsidR="00780F39" w:rsidRPr="00401CCB" w:rsidRDefault="00780F39" w:rsidP="00410FCE">
            <w:pPr>
              <w:ind w:left="-283"/>
              <w:jc w:val="center"/>
              <w:rPr>
                <w:rFonts w:asciiTheme="minorHAnsi" w:hAnsiTheme="minorHAnsi"/>
                <w:b/>
                <w:color w:val="FFFFFF"/>
                <w:sz w:val="24"/>
                <w:szCs w:val="24"/>
              </w:rPr>
            </w:pPr>
            <w:r w:rsidRPr="00401CCB">
              <w:rPr>
                <w:noProof/>
                <w:lang w:eastAsia="fr-FR"/>
              </w:rPr>
              <w:drawing>
                <wp:inline distT="0" distB="0" distL="0" distR="0" wp14:anchorId="149CDA12" wp14:editId="60669252">
                  <wp:extent cx="1438275" cy="571502"/>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780F39" w:rsidRPr="00401CCB" w14:paraId="034CDC5D" w14:textId="77777777" w:rsidTr="00410FCE">
        <w:trPr>
          <w:trHeight w:val="57"/>
        </w:trPr>
        <w:tc>
          <w:tcPr>
            <w:tcW w:w="5443" w:type="dxa"/>
            <w:tcBorders>
              <w:top w:val="nil"/>
              <w:left w:val="nil"/>
              <w:bottom w:val="single" w:sz="24" w:space="0" w:color="951B81"/>
              <w:right w:val="nil"/>
            </w:tcBorders>
            <w:shd w:val="clear" w:color="auto" w:fill="auto"/>
          </w:tcPr>
          <w:p w14:paraId="5FC7D384" w14:textId="77777777" w:rsidR="00780F39" w:rsidRPr="00401CCB" w:rsidRDefault="00780F39" w:rsidP="00410FCE">
            <w:pPr>
              <w:rPr>
                <w:rFonts w:asciiTheme="minorHAnsi" w:hAnsiTheme="minorHAnsi"/>
                <w:b/>
                <w:color w:val="FFFFFF"/>
                <w:sz w:val="8"/>
                <w:szCs w:val="8"/>
              </w:rPr>
            </w:pPr>
          </w:p>
        </w:tc>
        <w:tc>
          <w:tcPr>
            <w:tcW w:w="322" w:type="dxa"/>
            <w:gridSpan w:val="2"/>
            <w:tcBorders>
              <w:top w:val="nil"/>
              <w:left w:val="nil"/>
              <w:bottom w:val="nil"/>
              <w:right w:val="nil"/>
            </w:tcBorders>
            <w:shd w:val="clear" w:color="auto" w:fill="auto"/>
          </w:tcPr>
          <w:p w14:paraId="100A57A2" w14:textId="77777777" w:rsidR="00780F39" w:rsidRPr="00401CCB" w:rsidRDefault="00780F39" w:rsidP="00410FCE">
            <w:pPr>
              <w:rPr>
                <w:rFonts w:asciiTheme="minorHAnsi" w:hAnsiTheme="minorHAnsi"/>
                <w:sz w:val="8"/>
                <w:szCs w:val="8"/>
              </w:rPr>
            </w:pPr>
          </w:p>
        </w:tc>
        <w:tc>
          <w:tcPr>
            <w:tcW w:w="6993" w:type="dxa"/>
            <w:tcBorders>
              <w:top w:val="nil"/>
              <w:left w:val="nil"/>
              <w:bottom w:val="single" w:sz="24" w:space="0" w:color="2AAC66"/>
              <w:right w:val="nil"/>
            </w:tcBorders>
            <w:shd w:val="clear" w:color="auto" w:fill="auto"/>
          </w:tcPr>
          <w:p w14:paraId="77D08BCF" w14:textId="77777777" w:rsidR="00780F39" w:rsidRPr="00401CCB" w:rsidRDefault="00780F39" w:rsidP="00410FCE">
            <w:pPr>
              <w:rPr>
                <w:rFonts w:asciiTheme="minorHAnsi" w:hAnsiTheme="minorHAnsi"/>
                <w:b/>
                <w:color w:val="FFFFFF"/>
                <w:sz w:val="8"/>
                <w:szCs w:val="8"/>
              </w:rPr>
            </w:pPr>
          </w:p>
        </w:tc>
        <w:tc>
          <w:tcPr>
            <w:tcW w:w="337" w:type="dxa"/>
            <w:gridSpan w:val="2"/>
            <w:tcBorders>
              <w:top w:val="nil"/>
              <w:left w:val="nil"/>
              <w:bottom w:val="nil"/>
              <w:right w:val="nil"/>
            </w:tcBorders>
            <w:shd w:val="clear" w:color="auto" w:fill="auto"/>
          </w:tcPr>
          <w:p w14:paraId="1690799D" w14:textId="77777777" w:rsidR="00780F39" w:rsidRPr="00401CCB" w:rsidRDefault="00780F39" w:rsidP="00410FCE">
            <w:pPr>
              <w:rPr>
                <w:rFonts w:asciiTheme="minorHAnsi" w:hAnsiTheme="minorHAnsi"/>
                <w:sz w:val="8"/>
                <w:szCs w:val="8"/>
              </w:rPr>
            </w:pPr>
          </w:p>
        </w:tc>
        <w:tc>
          <w:tcPr>
            <w:tcW w:w="2923" w:type="dxa"/>
            <w:tcBorders>
              <w:top w:val="nil"/>
              <w:left w:val="nil"/>
              <w:bottom w:val="single" w:sz="24" w:space="0" w:color="EE7444"/>
              <w:right w:val="nil"/>
            </w:tcBorders>
            <w:shd w:val="clear" w:color="auto" w:fill="auto"/>
          </w:tcPr>
          <w:p w14:paraId="3F9647CA" w14:textId="77777777" w:rsidR="00780F39" w:rsidRPr="00401CCB" w:rsidRDefault="00780F39" w:rsidP="00410FCE">
            <w:pPr>
              <w:rPr>
                <w:rFonts w:asciiTheme="minorHAnsi" w:hAnsiTheme="minorHAnsi"/>
                <w:b/>
                <w:color w:val="FFFFFF"/>
                <w:sz w:val="8"/>
                <w:szCs w:val="8"/>
              </w:rPr>
            </w:pPr>
          </w:p>
        </w:tc>
      </w:tr>
      <w:tr w:rsidR="00780F39" w:rsidRPr="00401CCB" w14:paraId="1AC6897D" w14:textId="77777777" w:rsidTr="00410FCE">
        <w:trPr>
          <w:trHeight w:hRule="exact" w:val="573"/>
        </w:trPr>
        <w:tc>
          <w:tcPr>
            <w:tcW w:w="5443" w:type="dxa"/>
            <w:tcBorders>
              <w:top w:val="single" w:sz="24" w:space="0" w:color="951B81"/>
              <w:left w:val="single" w:sz="24" w:space="0" w:color="951B81"/>
              <w:bottom w:val="single" w:sz="24" w:space="0" w:color="951B81"/>
              <w:right w:val="single" w:sz="24" w:space="0" w:color="951B81"/>
            </w:tcBorders>
            <w:shd w:val="pct20" w:color="951B81" w:fill="auto"/>
          </w:tcPr>
          <w:p w14:paraId="36AE964E" w14:textId="77777777" w:rsidR="00780F39" w:rsidRPr="00401CCB" w:rsidRDefault="00780F39" w:rsidP="00410FCE">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62C902DB" w14:textId="77777777" w:rsidR="00780F39" w:rsidRPr="00401CCB" w:rsidRDefault="00780F39" w:rsidP="00410FCE">
            <w:pPr>
              <w:rPr>
                <w:rFonts w:ascii="Arial" w:hAnsi="Arial" w:cs="Arial"/>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547F7834" w14:textId="77777777" w:rsidR="00780F39" w:rsidRPr="00401CCB" w:rsidRDefault="00780F39" w:rsidP="00410FCE">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39334B44" w14:textId="77777777" w:rsidR="00780F39" w:rsidRPr="00401CCB" w:rsidRDefault="00780F39" w:rsidP="00410FCE">
            <w:pPr>
              <w:rPr>
                <w:rFonts w:ascii="Arial" w:hAnsi="Arial" w:cs="Arial"/>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7FDB4A83" w14:textId="77777777" w:rsidR="00780F39" w:rsidRPr="00401CCB" w:rsidRDefault="00780F39" w:rsidP="00410FCE">
            <w:pPr>
              <w:rPr>
                <w:rFonts w:ascii="Arial" w:hAnsi="Arial" w:cs="Arial"/>
                <w:b/>
                <w:color w:val="FFFFFF"/>
                <w:sz w:val="44"/>
                <w:szCs w:val="44"/>
              </w:rPr>
            </w:pPr>
            <w:r w:rsidRPr="00401CCB">
              <w:rPr>
                <w:rFonts w:ascii="Arial" w:hAnsi="Arial" w:cs="Arial"/>
                <w:b/>
                <w:color w:val="EE7444"/>
                <w:sz w:val="44"/>
                <w:szCs w:val="44"/>
              </w:rPr>
              <w:t xml:space="preserve">Check </w:t>
            </w:r>
            <w:r w:rsidRPr="00401CCB">
              <w:rPr>
                <w:rFonts w:ascii="Arial" w:hAnsi="Arial" w:cs="Arial"/>
                <w:color w:val="EE7444"/>
                <w:sz w:val="24"/>
                <w:szCs w:val="24"/>
              </w:rPr>
              <w:t>Évaluer</w:t>
            </w:r>
          </w:p>
        </w:tc>
      </w:tr>
      <w:tr w:rsidR="00780F39" w:rsidRPr="00401CCB" w14:paraId="30645851" w14:textId="77777777" w:rsidTr="00410FCE">
        <w:trPr>
          <w:trHeight w:hRule="exact" w:val="7803"/>
        </w:trPr>
        <w:tc>
          <w:tcPr>
            <w:tcW w:w="5443" w:type="dxa"/>
            <w:tcBorders>
              <w:top w:val="single" w:sz="24" w:space="0" w:color="951B81"/>
              <w:left w:val="single" w:sz="24" w:space="0" w:color="951B81"/>
              <w:bottom w:val="single" w:sz="24" w:space="0" w:color="951B81"/>
              <w:right w:val="single" w:sz="24" w:space="0" w:color="951B81"/>
            </w:tcBorders>
          </w:tcPr>
          <w:p w14:paraId="4D954AAA" w14:textId="77777777" w:rsidR="00780F39" w:rsidRPr="00401CCB" w:rsidRDefault="00780F39" w:rsidP="009A7A62">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735E35D2" w14:textId="77777777" w:rsidR="00780F39" w:rsidRPr="008F12CE" w:rsidRDefault="00780F39" w:rsidP="009A7A62">
            <w:pPr>
              <w:widowControl w:val="0"/>
              <w:spacing w:after="100"/>
              <w:rPr>
                <w:rFonts w:ascii="Arial" w:eastAsia="MS Mincho" w:hAnsi="Arial" w:cs="Arial"/>
                <w:sz w:val="18"/>
                <w:szCs w:val="18"/>
              </w:rPr>
            </w:pPr>
            <w:r w:rsidRPr="008F12CE">
              <w:rPr>
                <w:rFonts w:ascii="Arial" w:eastAsia="MS Mincho" w:hAnsi="Arial" w:cs="Arial"/>
                <w:sz w:val="18"/>
                <w:szCs w:val="18"/>
              </w:rPr>
              <w:t>Tout EPLE peut développer une offre de formation professionnelle continue, en cohérence avec la stratégie de région académique et en prenant en compte la réalité du bassin d’emploi et du marché concurrentiel de la formation professionnelle continue. Les EPLE doivent s’appuyer sur les GIP FCIP et Greta (ci-après désignés comme « groupements ») pour l’analyse des besoins et l’accompagnement de l’ingénierie de formation en prenant en compte les enjeux actuels des transitions numérique et écologique. Les groupements prennent également en charge le portage et l’ingénierie financière.</w:t>
            </w:r>
          </w:p>
          <w:p w14:paraId="00439FDF" w14:textId="77777777" w:rsidR="00780F39" w:rsidRPr="008F12CE" w:rsidRDefault="00780F39" w:rsidP="009A7A62">
            <w:pPr>
              <w:widowControl w:val="0"/>
              <w:spacing w:after="100"/>
              <w:rPr>
                <w:rFonts w:ascii="Arial" w:eastAsia="MS Mincho" w:hAnsi="Arial" w:cs="Arial"/>
                <w:sz w:val="18"/>
                <w:szCs w:val="18"/>
              </w:rPr>
            </w:pPr>
            <w:r w:rsidRPr="008F12CE">
              <w:rPr>
                <w:rFonts w:ascii="Arial" w:eastAsia="MS Mincho" w:hAnsi="Arial" w:cs="Arial"/>
                <w:sz w:val="18"/>
                <w:szCs w:val="18"/>
              </w:rPr>
              <w:t xml:space="preserve">Développer des actions de formation continue et informer sur la validation des acquis de l’expérience (VAE), voie de certification basée sur les acquis de l’expérience, permet à l’établissement de devenir un acteur de l’orientation, de la formation et de l’insertion professionnelles pour tous les publics. La mixité de publics qui en résulte apporte une ouverture aux élèves et apprentis sur la formation tout au long de la vie, grâce à la présence en EPLE d’adultes qui bénéficient de formations dans le cadre de la formation professionnelle continue ou d’un parcours de VAE.  Elle permet également aux équipes pédagogiques de développer de nouvelles compétences qui viennent enrichir leurs pratiques. </w:t>
            </w:r>
          </w:p>
          <w:p w14:paraId="3D58D4C0" w14:textId="77777777" w:rsidR="00780F39" w:rsidRPr="008F12CE" w:rsidRDefault="00780F39" w:rsidP="009A7A62">
            <w:pPr>
              <w:widowControl w:val="0"/>
              <w:spacing w:after="100"/>
              <w:rPr>
                <w:rFonts w:ascii="Arial" w:eastAsia="MS Mincho" w:hAnsi="Arial" w:cs="Arial"/>
                <w:sz w:val="18"/>
                <w:szCs w:val="18"/>
              </w:rPr>
            </w:pPr>
            <w:r w:rsidRPr="008F12CE">
              <w:rPr>
                <w:rFonts w:ascii="Arial" w:eastAsia="MS Mincho" w:hAnsi="Arial" w:cs="Arial"/>
                <w:sz w:val="18"/>
                <w:szCs w:val="18"/>
              </w:rPr>
              <w:t>Le chef d’établissement est garant de la mise en œuvre de l’action, dans les conditions prévues par les conventions constitutives des groupements (GIP et GRETA) ainsi que du contrat passé par celui-ci avec les financeurs et les stagiaires.</w:t>
            </w:r>
          </w:p>
          <w:p w14:paraId="13E6A012" w14:textId="77777777" w:rsidR="00780F39" w:rsidRDefault="00780F39"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l’établissement conduit-il une réflexion globale sur son offre de formation professionnelle intégrant les formations initiales (scolaires ou par apprentissage) et continue ? Dans quelles instances, avec quels acteurs ?</w:t>
            </w:r>
          </w:p>
          <w:p w14:paraId="11979DFF" w14:textId="77777777" w:rsidR="00780F39" w:rsidRPr="008F12CE" w:rsidRDefault="00780F39"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l’offre de formation continue des adultes s’intègre-t-elle dans le projet et les activités de l’établissement ? avec quelles stratégies ? quels objectifs ?</w:t>
            </w:r>
          </w:p>
        </w:tc>
        <w:tc>
          <w:tcPr>
            <w:tcW w:w="236" w:type="dxa"/>
            <w:tcBorders>
              <w:top w:val="nil"/>
              <w:left w:val="single" w:sz="24" w:space="0" w:color="951B81"/>
              <w:bottom w:val="nil"/>
              <w:right w:val="single" w:sz="24" w:space="0" w:color="2AAC66"/>
            </w:tcBorders>
          </w:tcPr>
          <w:p w14:paraId="0094EFBF" w14:textId="77777777" w:rsidR="00780F39" w:rsidRPr="00401CCB" w:rsidRDefault="00780F39" w:rsidP="00410FCE">
            <w:pPr>
              <w:rPr>
                <w:rFonts w:asciiTheme="minorHAnsi" w:hAnsiTheme="minorHAnsi"/>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tcPr>
          <w:p w14:paraId="6CBE1706" w14:textId="77777777" w:rsidR="00780F39" w:rsidRPr="00401CCB" w:rsidRDefault="00780F39" w:rsidP="00927186">
            <w:pPr>
              <w:widowControl w:val="0"/>
              <w:tabs>
                <w:tab w:val="left" w:pos="323"/>
              </w:tabs>
              <w:spacing w:before="60" w:after="120"/>
              <w:ind w:right="170"/>
              <w:jc w:val="both"/>
              <w:rPr>
                <w:rFonts w:ascii="Arial" w:hAnsi="Arial" w:cs="Arial"/>
                <w:b/>
                <w:color w:val="2AAC66"/>
              </w:rPr>
            </w:pPr>
            <w:r w:rsidRPr="00401CCB">
              <w:rPr>
                <w:rFonts w:ascii="Arial" w:hAnsi="Arial" w:cs="Arial"/>
                <w:b/>
                <w:color w:val="2AAC66"/>
              </w:rPr>
              <w:t>Acteurs – Actions – Mo</w:t>
            </w:r>
            <w:r w:rsidRPr="006D79C1">
              <w:rPr>
                <w:rFonts w:ascii="Arial" w:hAnsi="Arial" w:cs="Arial"/>
                <w:b/>
                <w:color w:val="2AAC66"/>
              </w:rPr>
              <w:t>yen</w:t>
            </w:r>
            <w:r w:rsidRPr="00401CCB">
              <w:rPr>
                <w:rFonts w:ascii="Arial" w:hAnsi="Arial" w:cs="Arial"/>
                <w:b/>
                <w:color w:val="2AAC66"/>
              </w:rPr>
              <w:t>s – Temps</w:t>
            </w:r>
          </w:p>
          <w:p w14:paraId="413A17FB" w14:textId="77777777" w:rsidR="00F05FAC" w:rsidRPr="00F05FAC" w:rsidRDefault="00F05FAC" w:rsidP="009A7A62">
            <w:pPr>
              <w:widowControl w:val="0"/>
              <w:tabs>
                <w:tab w:val="left" w:pos="323"/>
              </w:tabs>
              <w:spacing w:after="60"/>
              <w:rPr>
                <w:rFonts w:ascii="Arial" w:hAnsi="Arial" w:cs="Arial"/>
                <w:b/>
                <w:bCs/>
                <w:color w:val="2AAC66"/>
                <w:sz w:val="18"/>
                <w:szCs w:val="18"/>
              </w:rPr>
            </w:pPr>
            <w:r w:rsidRPr="00F05FAC">
              <w:rPr>
                <w:rFonts w:ascii="Arial" w:hAnsi="Arial" w:cs="Arial"/>
                <w:b/>
                <w:bCs/>
                <w:color w:val="2AAC66"/>
                <w:sz w:val="18"/>
                <w:szCs w:val="18"/>
              </w:rPr>
              <w:t>Équipe pédagogique</w:t>
            </w:r>
          </w:p>
          <w:p w14:paraId="4D948665"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Comment est organisée la coordination pédagogique de l’action de formation ?</w:t>
            </w:r>
          </w:p>
          <w:p w14:paraId="55F4BD90"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 xml:space="preserve">Comment les professeurs sont-ils impliqués dans la réflexion pédagogique menée avec le groupement au moment de la conception des actions de formation ? </w:t>
            </w:r>
          </w:p>
          <w:p w14:paraId="2919143B"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Comment les professeurs sont-ils informés des possibilités d’intervenir en formation continue, de participer à des jurys VAE, des particularités du statut de formateur vacataire, des démarches administratives à entreprendre, notamment pour effectuer la demande d’autorisation de cumul nécessaire ?</w:t>
            </w:r>
          </w:p>
          <w:p w14:paraId="4229E9E2"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Comment et par qui est constituée l’équipe pédagogique dédiée à une action de formation ? Comment sont identifiées les ressources humaines en établissement, les besoins de formateurs externes ?</w:t>
            </w:r>
          </w:p>
          <w:p w14:paraId="5CFE63C2"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Si certains formateurs sont externes, comment sont-ils intégrés dans l’équipe pédagogique de l’action ?</w:t>
            </w:r>
          </w:p>
          <w:p w14:paraId="2645EF75"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Comment les formateurs sont-ils formés aux spécificités de la formation professionnelle pour adultes (pédagogie, individualisation, enjeux de la digitalisation, particularités formations diplômantes/qualifiantes…) ? Aux plateformes et outils (</w:t>
            </w:r>
            <w:proofErr w:type="spellStart"/>
            <w:r w:rsidRPr="00F05FAC">
              <w:rPr>
                <w:rFonts w:ascii="Arial" w:hAnsi="Arial" w:cs="Arial"/>
                <w:sz w:val="18"/>
                <w:szCs w:val="18"/>
              </w:rPr>
              <w:t>learning</w:t>
            </w:r>
            <w:proofErr w:type="spellEnd"/>
            <w:r w:rsidRPr="00F05FAC">
              <w:rPr>
                <w:rFonts w:ascii="Arial" w:hAnsi="Arial" w:cs="Arial"/>
                <w:sz w:val="18"/>
                <w:szCs w:val="18"/>
              </w:rPr>
              <w:t xml:space="preserve"> management system) mis à disposition par le groupement, notamment pour la mise en œuvre d’actions de formation à distance ou hybride ?</w:t>
            </w:r>
          </w:p>
          <w:p w14:paraId="64001725"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Dans quelle mesure sont-ils associés à l’ingénierie pédagogique proposée par le groupement ?</w:t>
            </w:r>
          </w:p>
          <w:p w14:paraId="7284D6C2" w14:textId="77777777" w:rsidR="00F05FAC" w:rsidRPr="00F05FAC" w:rsidRDefault="00F05FAC" w:rsidP="009A7A62">
            <w:pPr>
              <w:pStyle w:val="Paragraphedeliste"/>
              <w:widowControl w:val="0"/>
              <w:numPr>
                <w:ilvl w:val="0"/>
                <w:numId w:val="9"/>
              </w:numPr>
              <w:tabs>
                <w:tab w:val="left" w:pos="360"/>
              </w:tabs>
              <w:ind w:left="307" w:hanging="284"/>
              <w:rPr>
                <w:rFonts w:ascii="Arial" w:hAnsi="Arial" w:cs="Arial"/>
                <w:sz w:val="18"/>
                <w:szCs w:val="18"/>
              </w:rPr>
            </w:pPr>
            <w:r w:rsidRPr="00F05FAC">
              <w:rPr>
                <w:rFonts w:ascii="Arial" w:hAnsi="Arial" w:cs="Arial"/>
                <w:sz w:val="18"/>
                <w:szCs w:val="18"/>
              </w:rPr>
              <w:t>Comment est valorisé l’engagement des personnels qui participent à la mise en œuvre de la formation continue ?</w:t>
            </w:r>
          </w:p>
          <w:p w14:paraId="62C30D69" w14:textId="2006E495" w:rsidR="00F05FAC" w:rsidRPr="00F05FAC" w:rsidRDefault="00F05FAC" w:rsidP="00F05FAC">
            <w:pPr>
              <w:widowControl w:val="0"/>
              <w:tabs>
                <w:tab w:val="left" w:pos="323"/>
              </w:tabs>
              <w:ind w:right="172"/>
              <w:jc w:val="both"/>
              <w:rPr>
                <w:rFonts w:ascii="Arial" w:hAnsi="Arial" w:cs="Arial"/>
                <w:sz w:val="18"/>
                <w:szCs w:val="18"/>
              </w:rPr>
            </w:pPr>
          </w:p>
        </w:tc>
        <w:tc>
          <w:tcPr>
            <w:tcW w:w="236" w:type="dxa"/>
            <w:tcBorders>
              <w:top w:val="nil"/>
              <w:left w:val="single" w:sz="24" w:space="0" w:color="2AAC66"/>
              <w:bottom w:val="nil"/>
              <w:right w:val="single" w:sz="24" w:space="0" w:color="EE7444"/>
            </w:tcBorders>
          </w:tcPr>
          <w:p w14:paraId="6FE65F77" w14:textId="77777777" w:rsidR="00780F39" w:rsidRPr="00401CCB" w:rsidRDefault="00780F39" w:rsidP="00410FCE">
            <w:pPr>
              <w:rPr>
                <w:rFonts w:asciiTheme="minorHAnsi" w:hAnsiTheme="minorHAnsi"/>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tcPr>
          <w:p w14:paraId="73E94EC4" w14:textId="77777777" w:rsidR="00780F39" w:rsidRPr="00401CCB" w:rsidRDefault="00780F39" w:rsidP="00410FCE">
            <w:pPr>
              <w:spacing w:before="60"/>
              <w:ind w:left="79"/>
              <w:rPr>
                <w:rFonts w:ascii="Arial" w:hAnsi="Arial" w:cs="Arial"/>
                <w:b/>
                <w:color w:val="EE7444"/>
              </w:rPr>
            </w:pPr>
            <w:r w:rsidRPr="00401CCB">
              <w:rPr>
                <w:rFonts w:ascii="Arial" w:hAnsi="Arial" w:cs="Arial"/>
                <w:b/>
                <w:color w:val="EE7444"/>
              </w:rPr>
              <w:t xml:space="preserve">Exemples d’indicateurs </w:t>
            </w:r>
          </w:p>
          <w:p w14:paraId="587F9CD4" w14:textId="77777777" w:rsidR="00780F39" w:rsidRPr="00401CCB" w:rsidRDefault="00780F39" w:rsidP="00410FCE">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405B8590" w14:textId="77777777" w:rsidR="00FF49EC" w:rsidRPr="00FF49EC" w:rsidRDefault="00FF49EC" w:rsidP="00FF49EC">
            <w:pPr>
              <w:widowControl w:val="0"/>
              <w:tabs>
                <w:tab w:val="left" w:pos="323"/>
              </w:tabs>
              <w:spacing w:after="60"/>
              <w:ind w:left="78" w:right="170"/>
              <w:rPr>
                <w:rFonts w:ascii="Arial" w:eastAsia="MS Mincho" w:hAnsi="Arial" w:cs="Arial"/>
                <w:sz w:val="18"/>
                <w:szCs w:val="18"/>
              </w:rPr>
            </w:pPr>
            <w:r w:rsidRPr="00FF49EC">
              <w:rPr>
                <w:rFonts w:ascii="Arial" w:eastAsia="MS Mincho" w:hAnsi="Arial" w:cs="Arial"/>
                <w:sz w:val="18"/>
                <w:szCs w:val="18"/>
              </w:rPr>
              <w:t>Pourcentage des enseignants du lycée intervenant pour le groupement ;</w:t>
            </w:r>
          </w:p>
          <w:p w14:paraId="121FC42D" w14:textId="77777777" w:rsidR="00FF49EC" w:rsidRPr="00FF49EC" w:rsidRDefault="00FF49EC" w:rsidP="00FF49EC">
            <w:pPr>
              <w:widowControl w:val="0"/>
              <w:tabs>
                <w:tab w:val="left" w:pos="323"/>
              </w:tabs>
              <w:spacing w:after="60"/>
              <w:ind w:left="78" w:right="170"/>
              <w:rPr>
                <w:rFonts w:ascii="Arial" w:eastAsia="MS Mincho" w:hAnsi="Arial" w:cs="Arial"/>
                <w:sz w:val="18"/>
                <w:szCs w:val="18"/>
              </w:rPr>
            </w:pPr>
            <w:r w:rsidRPr="00FF49EC">
              <w:rPr>
                <w:rFonts w:ascii="Arial" w:eastAsia="MS Mincho" w:hAnsi="Arial" w:cs="Arial"/>
                <w:sz w:val="18"/>
                <w:szCs w:val="18"/>
              </w:rPr>
              <w:t>Mobilisation des ressources humaines internes et difficultés éventuelles pour constituer l’équipe pédagogique</w:t>
            </w:r>
          </w:p>
          <w:p w14:paraId="67B5A42C" w14:textId="77777777" w:rsidR="00FF49EC" w:rsidRPr="00FF49EC" w:rsidRDefault="00FF49EC" w:rsidP="00FF49EC">
            <w:pPr>
              <w:widowControl w:val="0"/>
              <w:tabs>
                <w:tab w:val="left" w:pos="323"/>
              </w:tabs>
              <w:spacing w:after="60"/>
              <w:ind w:left="78" w:right="170"/>
              <w:rPr>
                <w:rFonts w:ascii="Arial" w:eastAsia="MS Mincho" w:hAnsi="Arial" w:cs="Arial"/>
                <w:sz w:val="18"/>
                <w:szCs w:val="18"/>
              </w:rPr>
            </w:pPr>
            <w:r w:rsidRPr="00FF49EC">
              <w:rPr>
                <w:rFonts w:ascii="Arial" w:eastAsia="MS Mincho" w:hAnsi="Arial" w:cs="Arial"/>
                <w:sz w:val="18"/>
                <w:szCs w:val="18"/>
              </w:rPr>
              <w:t>Nombre de propositions d’actions de formation continue formulées à l’initiative des enseignants</w:t>
            </w:r>
          </w:p>
          <w:p w14:paraId="3E68242B" w14:textId="77777777" w:rsidR="00FF49EC" w:rsidRPr="00FF49EC" w:rsidRDefault="00FF49EC" w:rsidP="009926C1">
            <w:pPr>
              <w:widowControl w:val="0"/>
              <w:tabs>
                <w:tab w:val="left" w:pos="323"/>
              </w:tabs>
              <w:spacing w:after="60"/>
              <w:ind w:left="79" w:right="170"/>
              <w:rPr>
                <w:rFonts w:ascii="Arial" w:eastAsia="MS Mincho" w:hAnsi="Arial" w:cs="Arial"/>
                <w:sz w:val="18"/>
                <w:szCs w:val="18"/>
              </w:rPr>
            </w:pPr>
            <w:r w:rsidRPr="00FF49EC">
              <w:rPr>
                <w:rFonts w:ascii="Arial" w:eastAsia="MS Mincho" w:hAnsi="Arial" w:cs="Arial"/>
                <w:sz w:val="18"/>
                <w:szCs w:val="18"/>
              </w:rPr>
              <w:t>Taux de satisfaction des différentes parties prenantes (stagiaires, enseignants-formateurs, formateurs externes, financeurs…)</w:t>
            </w:r>
          </w:p>
          <w:p w14:paraId="0EA06C44" w14:textId="77777777" w:rsidR="00FF49EC" w:rsidRPr="00FF49EC" w:rsidRDefault="00FF49EC" w:rsidP="00FF49EC">
            <w:pPr>
              <w:widowControl w:val="0"/>
              <w:tabs>
                <w:tab w:val="left" w:pos="323"/>
              </w:tabs>
              <w:spacing w:after="60"/>
              <w:ind w:left="78" w:right="170"/>
              <w:rPr>
                <w:rFonts w:ascii="Arial" w:eastAsia="MS Mincho" w:hAnsi="Arial" w:cs="Arial"/>
                <w:sz w:val="18"/>
                <w:szCs w:val="18"/>
              </w:rPr>
            </w:pPr>
            <w:r w:rsidRPr="00FF49EC">
              <w:rPr>
                <w:rFonts w:ascii="Arial" w:eastAsia="MS Mincho" w:hAnsi="Arial" w:cs="Arial"/>
                <w:sz w:val="18"/>
                <w:szCs w:val="18"/>
              </w:rPr>
              <w:t>Nombre de formations proposées aux formateurs, part des formateurs qui suivent des formations liées à l’activité de formation continue</w:t>
            </w:r>
          </w:p>
          <w:p w14:paraId="48884FA5" w14:textId="77777777" w:rsidR="00780F39" w:rsidRPr="00401CCB" w:rsidRDefault="00780F39" w:rsidP="00887215">
            <w:pPr>
              <w:widowControl w:val="0"/>
              <w:tabs>
                <w:tab w:val="left" w:pos="323"/>
              </w:tabs>
              <w:spacing w:after="60"/>
              <w:ind w:left="78" w:right="170"/>
              <w:rPr>
                <w:rFonts w:ascii="Arial" w:eastAsia="MS Mincho" w:hAnsi="Arial" w:cs="Arial"/>
                <w:sz w:val="18"/>
                <w:szCs w:val="18"/>
              </w:rPr>
            </w:pPr>
          </w:p>
        </w:tc>
      </w:tr>
    </w:tbl>
    <w:p w14:paraId="041C58CC" w14:textId="77777777" w:rsidR="00431F5D" w:rsidRPr="00A03D13" w:rsidRDefault="00431F5D" w:rsidP="00401CCB">
      <w:pPr>
        <w:rPr>
          <w:sz w:val="10"/>
          <w:szCs w:val="10"/>
        </w:rPr>
      </w:pPr>
    </w:p>
    <w:tbl>
      <w:tblPr>
        <w:tblStyle w:val="Grilledutableau2"/>
        <w:tblW w:w="16018" w:type="dxa"/>
        <w:tblInd w:w="-590" w:type="dxa"/>
        <w:tblLook w:val="04A0" w:firstRow="1" w:lastRow="0" w:firstColumn="1" w:lastColumn="0" w:noHBand="0" w:noVBand="1"/>
      </w:tblPr>
      <w:tblGrid>
        <w:gridCol w:w="5443"/>
        <w:gridCol w:w="236"/>
        <w:gridCol w:w="86"/>
        <w:gridCol w:w="6993"/>
        <w:gridCol w:w="236"/>
        <w:gridCol w:w="101"/>
        <w:gridCol w:w="2923"/>
      </w:tblGrid>
      <w:tr w:rsidR="00A03D13" w:rsidRPr="00401CCB" w14:paraId="1897B618" w14:textId="77777777" w:rsidTr="00410FCE">
        <w:trPr>
          <w:trHeight w:hRule="exact" w:val="1457"/>
        </w:trPr>
        <w:tc>
          <w:tcPr>
            <w:tcW w:w="12758" w:type="dxa"/>
            <w:gridSpan w:val="4"/>
            <w:tcBorders>
              <w:top w:val="single" w:sz="18" w:space="0" w:color="00B5C6"/>
              <w:left w:val="single" w:sz="18" w:space="0" w:color="00B5C6"/>
              <w:bottom w:val="single" w:sz="18" w:space="0" w:color="00B5C6"/>
              <w:right w:val="single" w:sz="18" w:space="0" w:color="00B5C6"/>
            </w:tcBorders>
            <w:shd w:val="clear" w:color="auto" w:fill="auto"/>
          </w:tcPr>
          <w:p w14:paraId="7154A9D5" w14:textId="381A5ED1" w:rsidR="00A03D13" w:rsidRDefault="00A03D13" w:rsidP="00410FCE">
            <w:pPr>
              <w:pStyle w:val="Titre2"/>
              <w:numPr>
                <w:ilvl w:val="0"/>
                <w:numId w:val="0"/>
              </w:numPr>
              <w:rPr>
                <w:rFonts w:ascii="Arial" w:hAnsi="Arial" w:cs="Arial"/>
                <w:sz w:val="30"/>
                <w:szCs w:val="30"/>
                <w:lang w:val="fr-FR"/>
              </w:rPr>
            </w:pPr>
            <w:r w:rsidRPr="009B360E">
              <w:rPr>
                <w:rFonts w:ascii="Arial" w:hAnsi="Arial" w:cs="Arial"/>
                <w:sz w:val="30"/>
                <w:szCs w:val="30"/>
                <w:lang w:val="fr-FR"/>
              </w:rPr>
              <w:lastRenderedPageBreak/>
              <w:t>2.1</w:t>
            </w:r>
            <w:r>
              <w:rPr>
                <w:rFonts w:ascii="Arial" w:hAnsi="Arial" w:cs="Arial"/>
                <w:sz w:val="30"/>
                <w:szCs w:val="30"/>
                <w:lang w:val="fr-FR"/>
              </w:rPr>
              <w:t>4</w:t>
            </w:r>
            <w:r w:rsidRPr="009B360E">
              <w:rPr>
                <w:rFonts w:ascii="Arial" w:hAnsi="Arial" w:cs="Arial"/>
                <w:sz w:val="30"/>
                <w:szCs w:val="30"/>
                <w:lang w:val="fr-FR"/>
              </w:rPr>
              <w:t xml:space="preserve"> Proposer des actions de formation continue pour adultes dans un EPLE (</w:t>
            </w:r>
            <w:r w:rsidR="00505BAC">
              <w:rPr>
                <w:rFonts w:ascii="Arial" w:hAnsi="Arial" w:cs="Arial"/>
                <w:sz w:val="30"/>
                <w:szCs w:val="30"/>
                <w:lang w:val="fr-FR"/>
              </w:rPr>
              <w:t>3</w:t>
            </w:r>
            <w:r w:rsidRPr="009B360E">
              <w:rPr>
                <w:rFonts w:ascii="Arial" w:hAnsi="Arial" w:cs="Arial"/>
                <w:sz w:val="30"/>
                <w:szCs w:val="30"/>
                <w:lang w:val="fr-FR"/>
              </w:rPr>
              <w:t>/</w:t>
            </w:r>
            <w:r w:rsidR="00505BAC">
              <w:rPr>
                <w:rFonts w:ascii="Arial" w:hAnsi="Arial" w:cs="Arial"/>
                <w:sz w:val="30"/>
                <w:szCs w:val="30"/>
                <w:lang w:val="fr-FR"/>
              </w:rPr>
              <w:t>4</w:t>
            </w:r>
            <w:r w:rsidRPr="009B360E">
              <w:rPr>
                <w:rFonts w:ascii="Arial" w:hAnsi="Arial" w:cs="Arial"/>
                <w:sz w:val="30"/>
                <w:szCs w:val="30"/>
                <w:lang w:val="fr-FR"/>
              </w:rPr>
              <w:t>)</w:t>
            </w:r>
          </w:p>
          <w:p w14:paraId="58045227" w14:textId="77777777" w:rsidR="00A03D13" w:rsidRDefault="00A03D13" w:rsidP="00410FCE">
            <w:pPr>
              <w:pStyle w:val="Titre2"/>
              <w:numPr>
                <w:ilvl w:val="0"/>
                <w:numId w:val="0"/>
              </w:numPr>
              <w:rPr>
                <w:rFonts w:ascii="Arial" w:eastAsia="MS Mincho" w:hAnsi="Arial" w:cs="Arial"/>
                <w:b w:val="0"/>
                <w:color w:val="0000FF"/>
                <w:sz w:val="14"/>
                <w:szCs w:val="14"/>
                <w:u w:val="single"/>
                <w:lang w:val="fr-FR" w:eastAsia="ja-JP"/>
              </w:rPr>
            </w:pPr>
            <w:r w:rsidRPr="009B360E">
              <w:rPr>
                <w:rFonts w:ascii="Arial" w:eastAsia="MS Mincho" w:hAnsi="Arial" w:cs="Arial"/>
                <w:b w:val="0"/>
                <w:bCs w:val="0"/>
                <w:color w:val="auto"/>
                <w:sz w:val="14"/>
                <w:szCs w:val="14"/>
                <w:lang w:val="fr-FR" w:eastAsia="ja-JP"/>
              </w:rPr>
              <w:t xml:space="preserve">Code de l’éducation : </w:t>
            </w:r>
            <w:hyperlink r:id="rId31" w:history="1">
              <w:r w:rsidRPr="009B360E">
                <w:rPr>
                  <w:rFonts w:ascii="Arial" w:eastAsia="MS Mincho" w:hAnsi="Arial" w:cs="Arial"/>
                  <w:b w:val="0"/>
                  <w:bCs w:val="0"/>
                  <w:color w:val="0000FF"/>
                  <w:sz w:val="14"/>
                  <w:szCs w:val="14"/>
                  <w:u w:val="single"/>
                  <w:lang w:val="fr-FR" w:eastAsia="ja-JP"/>
                </w:rPr>
                <w:t>art. D. 122-5 à art. D. 122-7</w:t>
              </w:r>
            </w:hyperlink>
            <w:r w:rsidRPr="009B360E">
              <w:rPr>
                <w:rFonts w:ascii="Arial" w:eastAsia="MS Mincho" w:hAnsi="Arial" w:cs="Arial"/>
                <w:b w:val="0"/>
                <w:bCs w:val="0"/>
                <w:color w:val="auto"/>
                <w:sz w:val="14"/>
                <w:szCs w:val="14"/>
                <w:lang w:val="fr-FR" w:eastAsia="ja-JP"/>
              </w:rPr>
              <w:t xml:space="preserve"> (mission de formation continue des adultes), </w:t>
            </w:r>
            <w:hyperlink r:id="rId32" w:history="1">
              <w:r w:rsidRPr="009B360E">
                <w:rPr>
                  <w:rFonts w:ascii="Arial" w:eastAsia="MS Mincho" w:hAnsi="Arial" w:cs="Arial"/>
                  <w:b w:val="0"/>
                  <w:bCs w:val="0"/>
                  <w:color w:val="0000FF"/>
                  <w:sz w:val="14"/>
                  <w:szCs w:val="14"/>
                  <w:u w:val="single"/>
                  <w:lang w:val="fr-FR" w:eastAsia="ja-JP"/>
                </w:rPr>
                <w:t>art. D122-9-1 et art. D122-9-2</w:t>
              </w:r>
            </w:hyperlink>
            <w:r w:rsidRPr="009B360E">
              <w:rPr>
                <w:rFonts w:ascii="Arial" w:eastAsia="MS Mincho" w:hAnsi="Arial" w:cs="Arial"/>
                <w:b w:val="0"/>
                <w:bCs w:val="0"/>
                <w:color w:val="auto"/>
                <w:sz w:val="14"/>
                <w:szCs w:val="14"/>
                <w:lang w:val="fr-FR" w:eastAsia="ja-JP"/>
              </w:rPr>
              <w:t xml:space="preserve"> (le label qualité « ÉDUFORM »), </w:t>
            </w:r>
            <w:hyperlink r:id="rId33" w:history="1">
              <w:r w:rsidRPr="009B360E">
                <w:rPr>
                  <w:rFonts w:ascii="Arial" w:eastAsia="MS Mincho" w:hAnsi="Arial" w:cs="Arial"/>
                  <w:b w:val="0"/>
                  <w:bCs w:val="0"/>
                  <w:color w:val="0000FF"/>
                  <w:sz w:val="14"/>
                  <w:szCs w:val="14"/>
                  <w:u w:val="single"/>
                  <w:lang w:val="fr-FR" w:eastAsia="ja-JP"/>
                </w:rPr>
                <w:t>art. L. 335-5</w:t>
              </w:r>
            </w:hyperlink>
            <w:r w:rsidRPr="009B360E">
              <w:rPr>
                <w:rFonts w:ascii="Arial" w:eastAsia="MS Mincho" w:hAnsi="Arial" w:cs="Arial"/>
                <w:b w:val="0"/>
                <w:bCs w:val="0"/>
                <w:color w:val="auto"/>
                <w:sz w:val="14"/>
                <w:szCs w:val="14"/>
                <w:lang w:val="fr-FR" w:eastAsia="ja-JP"/>
              </w:rPr>
              <w:t xml:space="preserve"> (VAE) et </w:t>
            </w:r>
            <w:r w:rsidRPr="009B360E">
              <w:rPr>
                <w:rFonts w:ascii="Arial" w:eastAsia="MS Mincho" w:hAnsi="Arial" w:cs="Arial"/>
                <w:b w:val="0"/>
                <w:bCs w:val="0"/>
                <w:color w:val="auto"/>
                <w:sz w:val="14"/>
                <w:szCs w:val="14"/>
                <w:lang w:val="fr-FR" w:eastAsia="ja-JP"/>
              </w:rPr>
              <w:br/>
            </w:r>
            <w:hyperlink r:id="rId34" w:history="1">
              <w:r w:rsidRPr="009B360E">
                <w:rPr>
                  <w:rFonts w:ascii="Arial" w:eastAsia="MS Mincho" w:hAnsi="Arial" w:cs="Arial"/>
                  <w:b w:val="0"/>
                  <w:bCs w:val="0"/>
                  <w:color w:val="0000FF"/>
                  <w:sz w:val="14"/>
                  <w:szCs w:val="14"/>
                  <w:u w:val="single"/>
                  <w:lang w:val="fr-FR" w:eastAsia="ja-JP"/>
                </w:rPr>
                <w:t>art. L. 335-6</w:t>
              </w:r>
            </w:hyperlink>
            <w:r w:rsidRPr="009B360E">
              <w:rPr>
                <w:rFonts w:ascii="Arial" w:eastAsia="MS Mincho" w:hAnsi="Arial" w:cs="Arial"/>
                <w:b w:val="0"/>
                <w:bCs w:val="0"/>
                <w:color w:val="auto"/>
                <w:sz w:val="14"/>
                <w:szCs w:val="14"/>
                <w:lang w:val="fr-FR" w:eastAsia="ja-JP"/>
              </w:rPr>
              <w:t xml:space="preserve"> (RNCP),</w:t>
            </w:r>
            <w:r w:rsidRPr="009B360E">
              <w:rPr>
                <w:rFonts w:ascii="Arial" w:eastAsia="MS Mincho" w:hAnsi="Arial" w:cs="Arial"/>
                <w:b w:val="0"/>
                <w:bCs w:val="0"/>
                <w:color w:val="FF0000"/>
                <w:sz w:val="14"/>
                <w:szCs w:val="14"/>
                <w:lang w:val="fr-FR" w:eastAsia="ja-JP"/>
              </w:rPr>
              <w:t xml:space="preserve"> </w:t>
            </w:r>
            <w:hyperlink r:id="rId35" w:history="1">
              <w:r w:rsidRPr="009B360E">
                <w:rPr>
                  <w:rFonts w:ascii="Arial" w:hAnsi="Arial" w:cs="Arial"/>
                  <w:b w:val="0"/>
                  <w:bCs w:val="0"/>
                  <w:color w:val="0000FF"/>
                  <w:sz w:val="14"/>
                  <w:szCs w:val="14"/>
                  <w:u w:val="single"/>
                  <w:lang w:val="fr-FR" w:eastAsia="ja-JP"/>
                </w:rPr>
                <w:t>Arrêté du 3 juillet 2025</w:t>
              </w:r>
            </w:hyperlink>
            <w:r w:rsidRPr="009B360E">
              <w:rPr>
                <w:rFonts w:ascii="Arial" w:hAnsi="Arial" w:cs="Arial"/>
                <w:b w:val="0"/>
                <w:bCs w:val="0"/>
                <w:color w:val="auto"/>
                <w:sz w:val="14"/>
                <w:szCs w:val="14"/>
                <w:lang w:val="fr-FR" w:eastAsia="ja-JP"/>
              </w:rPr>
              <w:t xml:space="preserve"> (accompagnement des personnes engagées dans un parcours de VAE). </w:t>
            </w:r>
            <w:hyperlink r:id="rId36" w:history="1">
              <w:r w:rsidRPr="009B360E">
                <w:rPr>
                  <w:rFonts w:ascii="Arial" w:eastAsia="MS Mincho" w:hAnsi="Arial" w:cs="Arial"/>
                  <w:b w:val="0"/>
                  <w:bCs w:val="0"/>
                  <w:color w:val="0000FF"/>
                  <w:sz w:val="14"/>
                  <w:szCs w:val="14"/>
                  <w:u w:val="single"/>
                  <w:lang w:val="fr-FR" w:eastAsia="ja-JP"/>
                </w:rPr>
                <w:t>Article D423-1 à D423-11 </w:t>
              </w:r>
            </w:hyperlink>
            <w:r w:rsidRPr="009B360E">
              <w:rPr>
                <w:rFonts w:ascii="Arial" w:eastAsia="MS Mincho" w:hAnsi="Arial" w:cs="Arial"/>
                <w:b w:val="0"/>
                <w:bCs w:val="0"/>
                <w:color w:val="auto"/>
                <w:sz w:val="14"/>
                <w:szCs w:val="14"/>
                <w:lang w:val="fr-FR" w:eastAsia="ja-JP"/>
              </w:rPr>
              <w:t>(possibilité pour les établissements scolaires de constituer un GIP, un Greta) Code du travail, sixième partie : La formation professionnelle tout au long de la vie (</w:t>
            </w:r>
            <w:hyperlink r:id="rId37" w:history="1">
              <w:r w:rsidRPr="009B360E">
                <w:rPr>
                  <w:rFonts w:ascii="Arial" w:eastAsia="MS Mincho" w:hAnsi="Arial" w:cs="Arial"/>
                  <w:b w:val="0"/>
                  <w:bCs w:val="0"/>
                  <w:color w:val="0000FF"/>
                  <w:sz w:val="14"/>
                  <w:szCs w:val="14"/>
                  <w:u w:val="single"/>
                  <w:lang w:val="fr-FR" w:eastAsia="ja-JP"/>
                </w:rPr>
                <w:t>Articles L6111-1 à L6523-7</w:t>
              </w:r>
            </w:hyperlink>
            <w:r w:rsidRPr="009B360E">
              <w:rPr>
                <w:rFonts w:ascii="Arial" w:eastAsia="MS Mincho" w:hAnsi="Arial" w:cs="Arial"/>
                <w:b w:val="0"/>
                <w:bCs w:val="0"/>
                <w:color w:val="auto"/>
                <w:sz w:val="14"/>
                <w:szCs w:val="14"/>
                <w:lang w:val="fr-FR" w:eastAsia="ja-JP"/>
              </w:rPr>
              <w:t xml:space="preserve">). </w:t>
            </w:r>
            <w:r w:rsidRPr="009B360E">
              <w:rPr>
                <w:rFonts w:ascii="Arial" w:eastAsia="MS Mincho" w:hAnsi="Arial" w:cs="Arial"/>
                <w:b w:val="0"/>
                <w:color w:val="auto"/>
                <w:sz w:val="14"/>
                <w:szCs w:val="14"/>
                <w:lang w:val="fr-FR" w:eastAsia="ja-JP"/>
              </w:rPr>
              <w:t xml:space="preserve">Conventions constitutives des GIP : </w:t>
            </w:r>
            <w:hyperlink r:id="rId38" w:history="1">
              <w:r w:rsidRPr="009B360E">
                <w:rPr>
                  <w:rFonts w:ascii="Arial" w:eastAsia="MS Mincho" w:hAnsi="Arial" w:cs="Arial"/>
                  <w:b w:val="0"/>
                  <w:color w:val="0000FF"/>
                  <w:sz w:val="14"/>
                  <w:szCs w:val="14"/>
                  <w:u w:val="single"/>
                  <w:lang w:val="fr-FR" w:eastAsia="ja-JP"/>
                </w:rPr>
                <w:t>loi n° 2011-525 du 17 mai 2011</w:t>
              </w:r>
            </w:hyperlink>
            <w:r w:rsidRPr="009B360E">
              <w:rPr>
                <w:rFonts w:ascii="Arial" w:eastAsia="MS Mincho" w:hAnsi="Arial" w:cs="Arial"/>
                <w:b w:val="0"/>
                <w:color w:val="0000FF"/>
                <w:sz w:val="14"/>
                <w:szCs w:val="14"/>
                <w:u w:val="single"/>
                <w:lang w:val="fr-FR" w:eastAsia="ja-JP"/>
              </w:rPr>
              <w:t xml:space="preserve"> de simplification et d'amélioration de la qualité du droit, chapitre II</w:t>
            </w:r>
            <w:r w:rsidRPr="009B360E">
              <w:rPr>
                <w:rFonts w:ascii="Arial" w:eastAsia="MS Mincho" w:hAnsi="Arial" w:cs="Arial"/>
                <w:b w:val="0"/>
                <w:color w:val="0000FF"/>
                <w:sz w:val="14"/>
                <w:szCs w:val="14"/>
                <w:lang w:val="fr-FR" w:eastAsia="ja-JP"/>
              </w:rPr>
              <w:t xml:space="preserve"> et </w:t>
            </w:r>
            <w:hyperlink r:id="rId39" w:history="1">
              <w:r w:rsidRPr="009B360E">
                <w:rPr>
                  <w:rFonts w:ascii="Arial" w:eastAsia="MS Mincho" w:hAnsi="Arial" w:cs="Arial"/>
                  <w:b w:val="0"/>
                  <w:color w:val="0000FF"/>
                  <w:sz w:val="14"/>
                  <w:szCs w:val="14"/>
                  <w:u w:val="single"/>
                  <w:lang w:val="fr-FR" w:eastAsia="ja-JP"/>
                </w:rPr>
                <w:t>circulaire n° 2013-077</w:t>
              </w:r>
            </w:hyperlink>
            <w:r w:rsidRPr="009B360E">
              <w:rPr>
                <w:rFonts w:ascii="Arial" w:eastAsia="MS Mincho" w:hAnsi="Arial" w:cs="Arial"/>
                <w:b w:val="0"/>
                <w:color w:val="FF0000"/>
                <w:sz w:val="14"/>
                <w:szCs w:val="14"/>
                <w:lang w:val="fr-FR" w:eastAsia="ja-JP"/>
              </w:rPr>
              <w:t xml:space="preserve"> </w:t>
            </w:r>
            <w:r w:rsidRPr="009B360E">
              <w:rPr>
                <w:rFonts w:ascii="Arial" w:eastAsia="MS Mincho" w:hAnsi="Arial" w:cs="Arial"/>
                <w:b w:val="0"/>
                <w:color w:val="auto"/>
                <w:sz w:val="14"/>
                <w:szCs w:val="14"/>
                <w:lang w:val="fr-FR" w:eastAsia="ja-JP"/>
              </w:rPr>
              <w:t>du 6 mai 2013 relative à l’organisation et au fonctionnement des GIP-FCIP. Conventions constitutives des Greta </w:t>
            </w:r>
            <w:r w:rsidRPr="009B360E">
              <w:rPr>
                <w:rFonts w:ascii="Arial" w:eastAsia="MS Mincho" w:hAnsi="Arial" w:cs="Arial"/>
                <w:b w:val="0"/>
                <w:color w:val="0000FF"/>
                <w:sz w:val="14"/>
                <w:szCs w:val="14"/>
                <w:lang w:val="fr-FR" w:eastAsia="ja-JP"/>
              </w:rPr>
              <w:t xml:space="preserve">: </w:t>
            </w:r>
            <w:hyperlink r:id="rId40" w:anchor="LEGISCTA000027993060" w:history="1">
              <w:r w:rsidRPr="009B360E">
                <w:rPr>
                  <w:rFonts w:ascii="Arial" w:eastAsia="MS Mincho" w:hAnsi="Arial" w:cs="Arial"/>
                  <w:b w:val="0"/>
                  <w:color w:val="0000FF"/>
                  <w:sz w:val="14"/>
                  <w:szCs w:val="14"/>
                  <w:u w:val="single"/>
                  <w:lang w:val="fr-FR" w:eastAsia="ja-JP"/>
                </w:rPr>
                <w:t xml:space="preserve">articles D423-1 à D423-12 </w:t>
              </w:r>
            </w:hyperlink>
            <w:r w:rsidRPr="009B360E">
              <w:rPr>
                <w:rFonts w:ascii="Arial" w:eastAsia="MS Mincho" w:hAnsi="Arial" w:cs="Arial"/>
                <w:b w:val="0"/>
                <w:color w:val="0000FF"/>
                <w:sz w:val="14"/>
                <w:szCs w:val="14"/>
                <w:u w:val="single"/>
                <w:lang w:val="fr-FR" w:eastAsia="ja-JP"/>
              </w:rPr>
              <w:t>du code de l’éducation</w:t>
            </w:r>
            <w:r w:rsidRPr="009B360E">
              <w:rPr>
                <w:rFonts w:ascii="Arial" w:eastAsia="MS Mincho" w:hAnsi="Arial" w:cs="Arial"/>
                <w:b w:val="0"/>
                <w:color w:val="0000FF"/>
                <w:sz w:val="14"/>
                <w:szCs w:val="14"/>
                <w:lang w:val="fr-FR" w:eastAsia="ja-JP"/>
              </w:rPr>
              <w:t xml:space="preserve"> et </w:t>
            </w:r>
            <w:hyperlink r:id="rId41" w:history="1">
              <w:r w:rsidRPr="009B360E">
                <w:rPr>
                  <w:rFonts w:ascii="Arial" w:eastAsia="MS Mincho" w:hAnsi="Arial" w:cs="Arial"/>
                  <w:b w:val="0"/>
                  <w:color w:val="0000FF"/>
                  <w:sz w:val="14"/>
                  <w:szCs w:val="14"/>
                  <w:u w:val="single"/>
                  <w:lang w:val="fr-FR" w:eastAsia="ja-JP"/>
                </w:rPr>
                <w:t xml:space="preserve">circulaire n° 2014-009 du 4-2-2014 </w:t>
              </w:r>
            </w:hyperlink>
            <w:r w:rsidRPr="009B360E">
              <w:rPr>
                <w:rFonts w:ascii="Arial" w:eastAsia="MS Mincho" w:hAnsi="Arial" w:cs="Arial"/>
                <w:b w:val="0"/>
                <w:color w:val="0000FF"/>
                <w:sz w:val="14"/>
                <w:szCs w:val="14"/>
                <w:u w:val="single"/>
                <w:lang w:val="fr-FR" w:eastAsia="ja-JP"/>
              </w:rPr>
              <w:t>relative à l’organisation et au fonctionnement des Greta.</w:t>
            </w:r>
          </w:p>
          <w:p w14:paraId="38D09316" w14:textId="77777777" w:rsidR="00A03D13" w:rsidRPr="009B360E" w:rsidRDefault="00A03D13" w:rsidP="00410FCE">
            <w:pPr>
              <w:pStyle w:val="Sansinterligne"/>
            </w:pPr>
          </w:p>
        </w:tc>
        <w:tc>
          <w:tcPr>
            <w:tcW w:w="337" w:type="dxa"/>
            <w:gridSpan w:val="2"/>
            <w:tcBorders>
              <w:top w:val="nil"/>
              <w:left w:val="single" w:sz="18" w:space="0" w:color="00B5C6"/>
              <w:bottom w:val="nil"/>
              <w:right w:val="nil"/>
            </w:tcBorders>
            <w:shd w:val="clear" w:color="auto" w:fill="auto"/>
          </w:tcPr>
          <w:p w14:paraId="34A78291" w14:textId="77777777" w:rsidR="00A03D13" w:rsidRPr="00401CCB" w:rsidRDefault="00A03D13" w:rsidP="00410FCE">
            <w:pPr>
              <w:rPr>
                <w:rFonts w:asciiTheme="minorHAnsi" w:hAnsiTheme="minorHAnsi"/>
                <w:sz w:val="17"/>
                <w:szCs w:val="17"/>
              </w:rPr>
            </w:pPr>
          </w:p>
        </w:tc>
        <w:tc>
          <w:tcPr>
            <w:tcW w:w="2923" w:type="dxa"/>
            <w:tcBorders>
              <w:top w:val="nil"/>
              <w:left w:val="nil"/>
              <w:bottom w:val="nil"/>
              <w:right w:val="nil"/>
            </w:tcBorders>
            <w:shd w:val="clear" w:color="auto" w:fill="auto"/>
            <w:vAlign w:val="center"/>
          </w:tcPr>
          <w:p w14:paraId="1948CAC5" w14:textId="77777777" w:rsidR="00A03D13" w:rsidRPr="00401CCB" w:rsidRDefault="00A03D13" w:rsidP="00410FCE">
            <w:pPr>
              <w:ind w:left="-283"/>
              <w:jc w:val="center"/>
              <w:rPr>
                <w:rFonts w:asciiTheme="minorHAnsi" w:hAnsiTheme="minorHAnsi"/>
                <w:b/>
                <w:color w:val="FFFFFF"/>
                <w:sz w:val="24"/>
                <w:szCs w:val="24"/>
              </w:rPr>
            </w:pPr>
            <w:r w:rsidRPr="00401CCB">
              <w:rPr>
                <w:noProof/>
                <w:lang w:eastAsia="fr-FR"/>
              </w:rPr>
              <w:drawing>
                <wp:inline distT="0" distB="0" distL="0" distR="0" wp14:anchorId="41ABDF1C" wp14:editId="799B08A4">
                  <wp:extent cx="1438275" cy="571502"/>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A03D13" w:rsidRPr="00401CCB" w14:paraId="0FDA7DF9" w14:textId="77777777" w:rsidTr="00410FCE">
        <w:trPr>
          <w:trHeight w:val="57"/>
        </w:trPr>
        <w:tc>
          <w:tcPr>
            <w:tcW w:w="5443" w:type="dxa"/>
            <w:tcBorders>
              <w:top w:val="nil"/>
              <w:left w:val="nil"/>
              <w:bottom w:val="single" w:sz="24" w:space="0" w:color="951B81"/>
              <w:right w:val="nil"/>
            </w:tcBorders>
            <w:shd w:val="clear" w:color="auto" w:fill="auto"/>
          </w:tcPr>
          <w:p w14:paraId="0F3177FC" w14:textId="77777777" w:rsidR="00A03D13" w:rsidRPr="00401CCB" w:rsidRDefault="00A03D13" w:rsidP="00410FCE">
            <w:pPr>
              <w:rPr>
                <w:rFonts w:asciiTheme="minorHAnsi" w:hAnsiTheme="minorHAnsi"/>
                <w:b/>
                <w:color w:val="FFFFFF"/>
                <w:sz w:val="8"/>
                <w:szCs w:val="8"/>
              </w:rPr>
            </w:pPr>
          </w:p>
        </w:tc>
        <w:tc>
          <w:tcPr>
            <w:tcW w:w="322" w:type="dxa"/>
            <w:gridSpan w:val="2"/>
            <w:tcBorders>
              <w:top w:val="nil"/>
              <w:left w:val="nil"/>
              <w:bottom w:val="nil"/>
              <w:right w:val="nil"/>
            </w:tcBorders>
            <w:shd w:val="clear" w:color="auto" w:fill="auto"/>
          </w:tcPr>
          <w:p w14:paraId="77D4BA09" w14:textId="77777777" w:rsidR="00A03D13" w:rsidRPr="00401CCB" w:rsidRDefault="00A03D13" w:rsidP="00410FCE">
            <w:pPr>
              <w:rPr>
                <w:rFonts w:asciiTheme="minorHAnsi" w:hAnsiTheme="minorHAnsi"/>
                <w:sz w:val="8"/>
                <w:szCs w:val="8"/>
              </w:rPr>
            </w:pPr>
          </w:p>
        </w:tc>
        <w:tc>
          <w:tcPr>
            <w:tcW w:w="6993" w:type="dxa"/>
            <w:tcBorders>
              <w:top w:val="nil"/>
              <w:left w:val="nil"/>
              <w:bottom w:val="single" w:sz="24" w:space="0" w:color="2AAC66"/>
              <w:right w:val="nil"/>
            </w:tcBorders>
            <w:shd w:val="clear" w:color="auto" w:fill="auto"/>
          </w:tcPr>
          <w:p w14:paraId="36F1F404" w14:textId="77777777" w:rsidR="00A03D13" w:rsidRPr="00401CCB" w:rsidRDefault="00A03D13" w:rsidP="00410FCE">
            <w:pPr>
              <w:rPr>
                <w:rFonts w:asciiTheme="minorHAnsi" w:hAnsiTheme="minorHAnsi"/>
                <w:b/>
                <w:color w:val="FFFFFF"/>
                <w:sz w:val="8"/>
                <w:szCs w:val="8"/>
              </w:rPr>
            </w:pPr>
          </w:p>
        </w:tc>
        <w:tc>
          <w:tcPr>
            <w:tcW w:w="337" w:type="dxa"/>
            <w:gridSpan w:val="2"/>
            <w:tcBorders>
              <w:top w:val="nil"/>
              <w:left w:val="nil"/>
              <w:bottom w:val="nil"/>
              <w:right w:val="nil"/>
            </w:tcBorders>
            <w:shd w:val="clear" w:color="auto" w:fill="auto"/>
          </w:tcPr>
          <w:p w14:paraId="7B2B03F5" w14:textId="77777777" w:rsidR="00A03D13" w:rsidRPr="00401CCB" w:rsidRDefault="00A03D13" w:rsidP="00410FCE">
            <w:pPr>
              <w:rPr>
                <w:rFonts w:asciiTheme="minorHAnsi" w:hAnsiTheme="minorHAnsi"/>
                <w:sz w:val="8"/>
                <w:szCs w:val="8"/>
              </w:rPr>
            </w:pPr>
          </w:p>
        </w:tc>
        <w:tc>
          <w:tcPr>
            <w:tcW w:w="2923" w:type="dxa"/>
            <w:tcBorders>
              <w:top w:val="nil"/>
              <w:left w:val="nil"/>
              <w:bottom w:val="single" w:sz="24" w:space="0" w:color="EE7444"/>
              <w:right w:val="nil"/>
            </w:tcBorders>
            <w:shd w:val="clear" w:color="auto" w:fill="auto"/>
          </w:tcPr>
          <w:p w14:paraId="3C43CB49" w14:textId="77777777" w:rsidR="00A03D13" w:rsidRPr="00401CCB" w:rsidRDefault="00A03D13" w:rsidP="00410FCE">
            <w:pPr>
              <w:rPr>
                <w:rFonts w:asciiTheme="minorHAnsi" w:hAnsiTheme="minorHAnsi"/>
                <w:b/>
                <w:color w:val="FFFFFF"/>
                <w:sz w:val="8"/>
                <w:szCs w:val="8"/>
              </w:rPr>
            </w:pPr>
          </w:p>
        </w:tc>
      </w:tr>
      <w:tr w:rsidR="00A03D13" w:rsidRPr="00401CCB" w14:paraId="6041FA9F" w14:textId="77777777" w:rsidTr="00410FCE">
        <w:trPr>
          <w:trHeight w:hRule="exact" w:val="573"/>
        </w:trPr>
        <w:tc>
          <w:tcPr>
            <w:tcW w:w="5443" w:type="dxa"/>
            <w:tcBorders>
              <w:top w:val="single" w:sz="24" w:space="0" w:color="951B81"/>
              <w:left w:val="single" w:sz="24" w:space="0" w:color="951B81"/>
              <w:bottom w:val="single" w:sz="24" w:space="0" w:color="951B81"/>
              <w:right w:val="single" w:sz="24" w:space="0" w:color="951B81"/>
            </w:tcBorders>
            <w:shd w:val="pct20" w:color="951B81" w:fill="auto"/>
          </w:tcPr>
          <w:p w14:paraId="4C1F73C0" w14:textId="77777777" w:rsidR="00A03D13" w:rsidRPr="00401CCB" w:rsidRDefault="00A03D13" w:rsidP="00410FCE">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6DA872BA" w14:textId="77777777" w:rsidR="00A03D13" w:rsidRPr="00401CCB" w:rsidRDefault="00A03D13" w:rsidP="00410FCE">
            <w:pPr>
              <w:rPr>
                <w:rFonts w:ascii="Arial" w:hAnsi="Arial" w:cs="Arial"/>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72462B93" w14:textId="77777777" w:rsidR="00A03D13" w:rsidRPr="00401CCB" w:rsidRDefault="00A03D13" w:rsidP="00410FCE">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090296B9" w14:textId="77777777" w:rsidR="00A03D13" w:rsidRPr="00401CCB" w:rsidRDefault="00A03D13" w:rsidP="00410FCE">
            <w:pPr>
              <w:rPr>
                <w:rFonts w:ascii="Arial" w:hAnsi="Arial" w:cs="Arial"/>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435CF579" w14:textId="77777777" w:rsidR="00A03D13" w:rsidRPr="00401CCB" w:rsidRDefault="00A03D13" w:rsidP="00410FCE">
            <w:pPr>
              <w:rPr>
                <w:rFonts w:ascii="Arial" w:hAnsi="Arial" w:cs="Arial"/>
                <w:b/>
                <w:color w:val="FFFFFF"/>
                <w:sz w:val="44"/>
                <w:szCs w:val="44"/>
              </w:rPr>
            </w:pPr>
            <w:r w:rsidRPr="00401CCB">
              <w:rPr>
                <w:rFonts w:ascii="Arial" w:hAnsi="Arial" w:cs="Arial"/>
                <w:b/>
                <w:color w:val="EE7444"/>
                <w:sz w:val="44"/>
                <w:szCs w:val="44"/>
              </w:rPr>
              <w:t xml:space="preserve">Check </w:t>
            </w:r>
            <w:r w:rsidRPr="00401CCB">
              <w:rPr>
                <w:rFonts w:ascii="Arial" w:hAnsi="Arial" w:cs="Arial"/>
                <w:color w:val="EE7444"/>
                <w:sz w:val="24"/>
                <w:szCs w:val="24"/>
              </w:rPr>
              <w:t>Évaluer</w:t>
            </w:r>
          </w:p>
        </w:tc>
      </w:tr>
      <w:tr w:rsidR="00A03D13" w:rsidRPr="00401CCB" w14:paraId="0A503271" w14:textId="77777777" w:rsidTr="00410FCE">
        <w:trPr>
          <w:trHeight w:hRule="exact" w:val="7803"/>
        </w:trPr>
        <w:tc>
          <w:tcPr>
            <w:tcW w:w="5443" w:type="dxa"/>
            <w:tcBorders>
              <w:top w:val="single" w:sz="24" w:space="0" w:color="951B81"/>
              <w:left w:val="single" w:sz="24" w:space="0" w:color="951B81"/>
              <w:bottom w:val="single" w:sz="24" w:space="0" w:color="951B81"/>
              <w:right w:val="single" w:sz="24" w:space="0" w:color="951B81"/>
            </w:tcBorders>
          </w:tcPr>
          <w:p w14:paraId="5E389388" w14:textId="77777777" w:rsidR="00A03D13" w:rsidRPr="00401CCB" w:rsidRDefault="00A03D13" w:rsidP="009A7A62">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3B80A638" w14:textId="77777777" w:rsidR="00A03D13" w:rsidRPr="008F12CE" w:rsidRDefault="00A03D13" w:rsidP="009A7A62">
            <w:pPr>
              <w:widowControl w:val="0"/>
              <w:spacing w:after="100"/>
              <w:rPr>
                <w:rFonts w:ascii="Arial" w:eastAsia="MS Mincho" w:hAnsi="Arial" w:cs="Arial"/>
                <w:sz w:val="18"/>
                <w:szCs w:val="18"/>
              </w:rPr>
            </w:pPr>
            <w:r w:rsidRPr="008F12CE">
              <w:rPr>
                <w:rFonts w:ascii="Arial" w:eastAsia="MS Mincho" w:hAnsi="Arial" w:cs="Arial"/>
                <w:sz w:val="18"/>
                <w:szCs w:val="18"/>
              </w:rPr>
              <w:t>Tout EPLE peut développer une offre de formation professionnelle continue, en cohérence avec la stratégie de région académique et en prenant en compte la réalité du bassin d’emploi et du marché concurrentiel de la formation professionnelle continue. Les EPLE doivent s’appuyer sur les GIP FCIP et Greta (ci-après désignés comme « groupements ») pour l’analyse des besoins et l’accompagnement de l’ingénierie de formation en prenant en compte les enjeux actuels des transitions numérique et écologique. Les groupements prennent également en charge le portage et l’ingénierie financière.</w:t>
            </w:r>
          </w:p>
          <w:p w14:paraId="517575B4" w14:textId="77777777" w:rsidR="00A03D13" w:rsidRPr="008F12CE" w:rsidRDefault="00A03D13" w:rsidP="009A7A62">
            <w:pPr>
              <w:widowControl w:val="0"/>
              <w:spacing w:after="100"/>
              <w:rPr>
                <w:rFonts w:ascii="Arial" w:eastAsia="MS Mincho" w:hAnsi="Arial" w:cs="Arial"/>
                <w:sz w:val="18"/>
                <w:szCs w:val="18"/>
              </w:rPr>
            </w:pPr>
            <w:r w:rsidRPr="008F12CE">
              <w:rPr>
                <w:rFonts w:ascii="Arial" w:eastAsia="MS Mincho" w:hAnsi="Arial" w:cs="Arial"/>
                <w:sz w:val="18"/>
                <w:szCs w:val="18"/>
              </w:rPr>
              <w:t xml:space="preserve">Développer des actions de formation continue et informer sur la validation des acquis de l’expérience (VAE), voie de certification basée sur les acquis de l’expérience, permet à l’établissement de devenir un acteur de l’orientation, de la formation et de l’insertion professionnelles pour tous les publics. La mixité de publics qui en résulte apporte une ouverture aux élèves et apprentis sur la formation tout au long de la vie, grâce à la présence en EPLE d’adultes qui bénéficient de formations dans le cadre de la formation professionnelle continue ou d’un parcours de VAE.  Elle permet également aux équipes pédagogiques de développer de nouvelles compétences qui viennent enrichir leurs pratiques. </w:t>
            </w:r>
          </w:p>
          <w:p w14:paraId="22315F8C" w14:textId="77777777" w:rsidR="00A03D13" w:rsidRPr="008F12CE" w:rsidRDefault="00A03D13" w:rsidP="009A7A62">
            <w:pPr>
              <w:widowControl w:val="0"/>
              <w:spacing w:after="100"/>
              <w:rPr>
                <w:rFonts w:ascii="Arial" w:eastAsia="MS Mincho" w:hAnsi="Arial" w:cs="Arial"/>
                <w:sz w:val="18"/>
                <w:szCs w:val="18"/>
              </w:rPr>
            </w:pPr>
            <w:r w:rsidRPr="008F12CE">
              <w:rPr>
                <w:rFonts w:ascii="Arial" w:eastAsia="MS Mincho" w:hAnsi="Arial" w:cs="Arial"/>
                <w:sz w:val="18"/>
                <w:szCs w:val="18"/>
              </w:rPr>
              <w:t>Le chef d’établissement est garant de la mise en œuvre de l’action, dans les conditions prévues par les conventions constitutives des groupements (GIP et GRETA) ainsi que du contrat passé par celui-ci avec les financeurs et les stagiaires.</w:t>
            </w:r>
          </w:p>
          <w:p w14:paraId="5B2B3993" w14:textId="77777777" w:rsidR="00A03D13" w:rsidRDefault="00A03D13"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l’établissement conduit-il une réflexion globale sur son offre de formation professionnelle intégrant les formations initiales (scolaires ou par apprentissage) et continue ? Dans quelles instances, avec quels acteurs ?</w:t>
            </w:r>
          </w:p>
          <w:p w14:paraId="244CB3B1" w14:textId="77777777" w:rsidR="00A03D13" w:rsidRPr="008F12CE" w:rsidRDefault="00A03D13"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l’offre de formation continue des adultes s’intègre-t-elle dans le projet et les activités de l’établissement ? avec quelles stratégies ? quels objectifs ?</w:t>
            </w:r>
          </w:p>
        </w:tc>
        <w:tc>
          <w:tcPr>
            <w:tcW w:w="236" w:type="dxa"/>
            <w:tcBorders>
              <w:top w:val="nil"/>
              <w:left w:val="single" w:sz="24" w:space="0" w:color="951B81"/>
              <w:bottom w:val="nil"/>
              <w:right w:val="single" w:sz="24" w:space="0" w:color="2AAC66"/>
            </w:tcBorders>
          </w:tcPr>
          <w:p w14:paraId="2D96475F" w14:textId="77777777" w:rsidR="00A03D13" w:rsidRPr="00401CCB" w:rsidRDefault="00A03D13" w:rsidP="00410FCE">
            <w:pPr>
              <w:rPr>
                <w:rFonts w:asciiTheme="minorHAnsi" w:hAnsiTheme="minorHAnsi"/>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tcPr>
          <w:p w14:paraId="793CD895" w14:textId="77777777" w:rsidR="00A03D13" w:rsidRPr="00401CCB" w:rsidRDefault="00A03D13" w:rsidP="009A7A62">
            <w:pPr>
              <w:widowControl w:val="0"/>
              <w:tabs>
                <w:tab w:val="left" w:pos="323"/>
              </w:tabs>
              <w:spacing w:before="60" w:after="120"/>
              <w:rPr>
                <w:rFonts w:ascii="Arial" w:hAnsi="Arial" w:cs="Arial"/>
                <w:b/>
                <w:color w:val="2AAC66"/>
              </w:rPr>
            </w:pPr>
            <w:r w:rsidRPr="00401CCB">
              <w:rPr>
                <w:rFonts w:ascii="Arial" w:hAnsi="Arial" w:cs="Arial"/>
                <w:b/>
                <w:color w:val="2AAC66"/>
              </w:rPr>
              <w:t>Acteurs – Actions – Mo</w:t>
            </w:r>
            <w:r w:rsidRPr="006D79C1">
              <w:rPr>
                <w:rFonts w:ascii="Arial" w:hAnsi="Arial" w:cs="Arial"/>
                <w:b/>
                <w:color w:val="2AAC66"/>
              </w:rPr>
              <w:t>yen</w:t>
            </w:r>
            <w:r w:rsidRPr="00401CCB">
              <w:rPr>
                <w:rFonts w:ascii="Arial" w:hAnsi="Arial" w:cs="Arial"/>
                <w:b/>
                <w:color w:val="2AAC66"/>
              </w:rPr>
              <w:t>s – Temps</w:t>
            </w:r>
          </w:p>
          <w:p w14:paraId="56F2140B" w14:textId="77777777" w:rsidR="00F05FAC" w:rsidRDefault="00F05FAC" w:rsidP="009A7A62">
            <w:pPr>
              <w:widowControl w:val="0"/>
              <w:tabs>
                <w:tab w:val="left" w:pos="323"/>
              </w:tabs>
              <w:spacing w:after="60"/>
              <w:rPr>
                <w:rFonts w:ascii="Arial" w:hAnsi="Arial" w:cs="Arial"/>
                <w:b/>
                <w:bCs/>
                <w:color w:val="2AAC66"/>
                <w:sz w:val="18"/>
                <w:szCs w:val="18"/>
              </w:rPr>
            </w:pPr>
            <w:r w:rsidRPr="00F05FAC">
              <w:rPr>
                <w:rFonts w:ascii="Arial" w:hAnsi="Arial" w:cs="Arial"/>
                <w:b/>
                <w:bCs/>
                <w:color w:val="2AAC66"/>
                <w:sz w:val="18"/>
                <w:szCs w:val="18"/>
              </w:rPr>
              <w:t>Locaux et équipements</w:t>
            </w:r>
          </w:p>
          <w:p w14:paraId="5F4325B8" w14:textId="77777777" w:rsidR="008C7E6F" w:rsidRPr="008C7E6F" w:rsidRDefault="008C7E6F" w:rsidP="009A7A62">
            <w:pPr>
              <w:pStyle w:val="Paragraphedeliste"/>
              <w:widowControl w:val="0"/>
              <w:numPr>
                <w:ilvl w:val="0"/>
                <w:numId w:val="10"/>
              </w:numPr>
              <w:tabs>
                <w:tab w:val="left" w:pos="360"/>
              </w:tabs>
              <w:ind w:left="307" w:hanging="284"/>
              <w:rPr>
                <w:rFonts w:ascii="Arial" w:hAnsi="Arial" w:cs="Arial"/>
                <w:sz w:val="18"/>
                <w:szCs w:val="18"/>
              </w:rPr>
            </w:pPr>
            <w:r w:rsidRPr="008C7E6F">
              <w:rPr>
                <w:rFonts w:ascii="Arial" w:hAnsi="Arial" w:cs="Arial"/>
                <w:sz w:val="18"/>
                <w:szCs w:val="18"/>
              </w:rPr>
              <w:t>Quelle est la disponibilité des plateaux techniques pour les actions de formation prévues ? Des adaptations sont-elles à prévoir ? Le cas échéant, quel plan de financement est construit entre les différents acteurs, y compris pour l’entretien et la maintenance (GIP FCIP ou Greta, EPLE, région, entreprises et partenaires comme les campus des métiers et des qualifications…) ?</w:t>
            </w:r>
          </w:p>
          <w:p w14:paraId="2E0AFDC1" w14:textId="77777777" w:rsidR="008C7E6F" w:rsidRPr="008C7E6F" w:rsidRDefault="008C7E6F" w:rsidP="009A7A62">
            <w:pPr>
              <w:pStyle w:val="Paragraphedeliste"/>
              <w:widowControl w:val="0"/>
              <w:numPr>
                <w:ilvl w:val="0"/>
                <w:numId w:val="10"/>
              </w:numPr>
              <w:tabs>
                <w:tab w:val="left" w:pos="360"/>
              </w:tabs>
              <w:ind w:left="307" w:hanging="284"/>
              <w:rPr>
                <w:rFonts w:ascii="Arial" w:hAnsi="Arial" w:cs="Arial"/>
                <w:sz w:val="18"/>
                <w:szCs w:val="18"/>
              </w:rPr>
            </w:pPr>
            <w:r w:rsidRPr="008C7E6F">
              <w:rPr>
                <w:rFonts w:ascii="Arial" w:hAnsi="Arial" w:cs="Arial"/>
                <w:sz w:val="18"/>
                <w:szCs w:val="18"/>
              </w:rPr>
              <w:t>Comment l’établissement fait-il remonter au groupement les informations nécessaires au dialogue sur les moyens, mené par le groupement avec la région, propriétaire des locaux ?</w:t>
            </w:r>
          </w:p>
          <w:p w14:paraId="76B59CE4" w14:textId="77777777" w:rsidR="008C7E6F" w:rsidRPr="008C7E6F" w:rsidRDefault="008C7E6F" w:rsidP="009A7A62">
            <w:pPr>
              <w:pStyle w:val="Paragraphedeliste"/>
              <w:widowControl w:val="0"/>
              <w:numPr>
                <w:ilvl w:val="0"/>
                <w:numId w:val="10"/>
              </w:numPr>
              <w:tabs>
                <w:tab w:val="left" w:pos="360"/>
              </w:tabs>
              <w:ind w:left="307" w:hanging="284"/>
              <w:rPr>
                <w:rFonts w:ascii="Arial" w:hAnsi="Arial" w:cs="Arial"/>
                <w:sz w:val="18"/>
                <w:szCs w:val="18"/>
              </w:rPr>
            </w:pPr>
            <w:r w:rsidRPr="008C7E6F">
              <w:rPr>
                <w:rFonts w:ascii="Arial" w:hAnsi="Arial" w:cs="Arial"/>
                <w:sz w:val="18"/>
                <w:szCs w:val="18"/>
              </w:rPr>
              <w:t>Comment l’établissement et le groupement dont il est membre s’accordent-ils pour assurer un usage cohérent des systèmes d’information qui devront être utilisés pour la gestion et le suivi de l’action de formation ?</w:t>
            </w:r>
          </w:p>
          <w:p w14:paraId="7B88DEF6" w14:textId="77777777" w:rsidR="00D647B1" w:rsidRDefault="00A03D13" w:rsidP="009A7A62">
            <w:pPr>
              <w:widowControl w:val="0"/>
              <w:tabs>
                <w:tab w:val="left" w:pos="323"/>
              </w:tabs>
              <w:spacing w:before="120" w:after="60"/>
              <w:rPr>
                <w:rFonts w:ascii="Arial" w:hAnsi="Arial" w:cs="Arial"/>
                <w:b/>
                <w:bCs/>
                <w:color w:val="2AAC66"/>
                <w:sz w:val="18"/>
                <w:szCs w:val="18"/>
              </w:rPr>
            </w:pPr>
            <w:r w:rsidRPr="008C7E6F">
              <w:rPr>
                <w:rFonts w:ascii="Arial" w:hAnsi="Arial" w:cs="Arial"/>
                <w:sz w:val="18"/>
                <w:szCs w:val="18"/>
              </w:rPr>
              <w:t xml:space="preserve"> </w:t>
            </w:r>
            <w:r w:rsidR="00D647B1" w:rsidRPr="00D647B1">
              <w:rPr>
                <w:rFonts w:ascii="Arial" w:hAnsi="Arial" w:cs="Arial"/>
                <w:b/>
                <w:bCs/>
                <w:color w:val="2AAC66"/>
                <w:sz w:val="18"/>
                <w:szCs w:val="18"/>
              </w:rPr>
              <w:t>Organisation de l’accueil et du suivi administratif des stagiaires</w:t>
            </w:r>
          </w:p>
          <w:p w14:paraId="054CE8B3" w14:textId="77777777" w:rsidR="00A94E6F" w:rsidRPr="00A94E6F" w:rsidRDefault="00A94E6F" w:rsidP="009A7A62">
            <w:pPr>
              <w:pStyle w:val="Paragraphedeliste"/>
              <w:widowControl w:val="0"/>
              <w:numPr>
                <w:ilvl w:val="0"/>
                <w:numId w:val="11"/>
              </w:numPr>
              <w:tabs>
                <w:tab w:val="left" w:pos="323"/>
              </w:tabs>
              <w:ind w:left="307" w:hanging="284"/>
              <w:rPr>
                <w:rFonts w:ascii="Arial" w:hAnsi="Arial" w:cs="Arial"/>
                <w:sz w:val="18"/>
                <w:szCs w:val="18"/>
              </w:rPr>
            </w:pPr>
            <w:r w:rsidRPr="00A94E6F">
              <w:rPr>
                <w:rFonts w:ascii="Arial" w:hAnsi="Arial" w:cs="Arial"/>
                <w:sz w:val="18"/>
                <w:szCs w:val="18"/>
              </w:rPr>
              <w:t>Comment la formation continue des adultes est-elle prise en compte a priori dans la préparation de la rentrée (plages horaires dans les emplois du temps des enseignants, prévision d’utilisation de locaux partagés) ?</w:t>
            </w:r>
          </w:p>
          <w:p w14:paraId="7287D924" w14:textId="77777777" w:rsidR="00A94E6F" w:rsidRPr="00A94E6F" w:rsidRDefault="00A94E6F" w:rsidP="009A7A62">
            <w:pPr>
              <w:pStyle w:val="Paragraphedeliste"/>
              <w:widowControl w:val="0"/>
              <w:numPr>
                <w:ilvl w:val="0"/>
                <w:numId w:val="11"/>
              </w:numPr>
              <w:tabs>
                <w:tab w:val="left" w:pos="323"/>
              </w:tabs>
              <w:ind w:left="307" w:hanging="284"/>
              <w:rPr>
                <w:rFonts w:ascii="Arial" w:hAnsi="Arial" w:cs="Arial"/>
                <w:sz w:val="18"/>
                <w:szCs w:val="18"/>
              </w:rPr>
            </w:pPr>
            <w:r w:rsidRPr="00A94E6F">
              <w:rPr>
                <w:rFonts w:ascii="Arial" w:hAnsi="Arial" w:cs="Arial"/>
                <w:sz w:val="18"/>
                <w:szCs w:val="18"/>
              </w:rPr>
              <w:t>Les modalités organisationnelles et matérielles prévues sont-elles adaptées au public « adulte », en particulier les horaires ? Comment l’établissement s’en assure-t-il ? Quelles conséquences sont à prévoir pour les différentes catégories d’agents ?</w:t>
            </w:r>
          </w:p>
          <w:p w14:paraId="60A22A2B" w14:textId="77777777" w:rsidR="00A94E6F" w:rsidRPr="00A94E6F" w:rsidRDefault="00A94E6F" w:rsidP="009A7A62">
            <w:pPr>
              <w:pStyle w:val="Paragraphedeliste"/>
              <w:widowControl w:val="0"/>
              <w:numPr>
                <w:ilvl w:val="0"/>
                <w:numId w:val="11"/>
              </w:numPr>
              <w:tabs>
                <w:tab w:val="left" w:pos="323"/>
              </w:tabs>
              <w:ind w:left="307" w:hanging="284"/>
              <w:rPr>
                <w:rFonts w:ascii="Arial" w:hAnsi="Arial" w:cs="Arial"/>
                <w:sz w:val="18"/>
                <w:szCs w:val="18"/>
              </w:rPr>
            </w:pPr>
            <w:r w:rsidRPr="00A94E6F">
              <w:rPr>
                <w:rFonts w:ascii="Arial" w:hAnsi="Arial" w:cs="Arial"/>
                <w:sz w:val="18"/>
                <w:szCs w:val="18"/>
              </w:rPr>
              <w:t xml:space="preserve">Comment les personnels non-enseignants de l’établissement (accueil, cantine, vie scolaire…) sont-ils formés et éventuellement associés à l’accueil du public adulte ? </w:t>
            </w:r>
          </w:p>
          <w:p w14:paraId="4838A9A2" w14:textId="77777777" w:rsidR="00A94E6F" w:rsidRPr="00A94E6F" w:rsidRDefault="00A94E6F" w:rsidP="009A7A62">
            <w:pPr>
              <w:pStyle w:val="Paragraphedeliste"/>
              <w:widowControl w:val="0"/>
              <w:numPr>
                <w:ilvl w:val="0"/>
                <w:numId w:val="11"/>
              </w:numPr>
              <w:tabs>
                <w:tab w:val="left" w:pos="323"/>
              </w:tabs>
              <w:ind w:left="307" w:hanging="284"/>
              <w:rPr>
                <w:rFonts w:ascii="Arial" w:hAnsi="Arial" w:cs="Arial"/>
                <w:sz w:val="18"/>
                <w:szCs w:val="18"/>
              </w:rPr>
            </w:pPr>
            <w:r w:rsidRPr="00A94E6F">
              <w:rPr>
                <w:rFonts w:ascii="Arial" w:hAnsi="Arial" w:cs="Arial"/>
                <w:sz w:val="18"/>
                <w:szCs w:val="18"/>
              </w:rPr>
              <w:t>Quelle information est prévue pour les personnels de l’accueil au sujet de la VAE, afin qu’ils soient en capacité d’orienter le public concerné vers les services académiques compétents (dispositifs académiques de validation des acquis – DAVA) ?</w:t>
            </w:r>
          </w:p>
          <w:p w14:paraId="40D088EA" w14:textId="77777777" w:rsidR="00A94E6F" w:rsidRPr="00A94E6F" w:rsidRDefault="00A94E6F" w:rsidP="009A7A62">
            <w:pPr>
              <w:pStyle w:val="Paragraphedeliste"/>
              <w:widowControl w:val="0"/>
              <w:numPr>
                <w:ilvl w:val="0"/>
                <w:numId w:val="11"/>
              </w:numPr>
              <w:tabs>
                <w:tab w:val="left" w:pos="323"/>
              </w:tabs>
              <w:ind w:left="307" w:hanging="284"/>
              <w:rPr>
                <w:rFonts w:ascii="Arial" w:hAnsi="Arial" w:cs="Arial"/>
                <w:sz w:val="18"/>
                <w:szCs w:val="18"/>
              </w:rPr>
            </w:pPr>
            <w:r w:rsidRPr="00A94E6F">
              <w:rPr>
                <w:rFonts w:ascii="Arial" w:hAnsi="Arial" w:cs="Arial"/>
                <w:sz w:val="18"/>
                <w:szCs w:val="18"/>
              </w:rPr>
              <w:t>Quelle signalétique est mise en place ?</w:t>
            </w:r>
          </w:p>
          <w:p w14:paraId="1B21436A" w14:textId="77777777" w:rsidR="00A94E6F" w:rsidRPr="00A94E6F" w:rsidRDefault="00A94E6F" w:rsidP="009A7A62">
            <w:pPr>
              <w:pStyle w:val="Paragraphedeliste"/>
              <w:widowControl w:val="0"/>
              <w:numPr>
                <w:ilvl w:val="0"/>
                <w:numId w:val="11"/>
              </w:numPr>
              <w:tabs>
                <w:tab w:val="left" w:pos="323"/>
              </w:tabs>
              <w:ind w:left="307" w:hanging="284"/>
              <w:rPr>
                <w:rFonts w:ascii="Arial" w:hAnsi="Arial" w:cs="Arial"/>
                <w:sz w:val="18"/>
                <w:szCs w:val="18"/>
              </w:rPr>
            </w:pPr>
            <w:r w:rsidRPr="00A94E6F">
              <w:rPr>
                <w:rFonts w:ascii="Arial" w:hAnsi="Arial" w:cs="Arial"/>
                <w:sz w:val="18"/>
                <w:szCs w:val="18"/>
              </w:rPr>
              <w:t xml:space="preserve">Comment est organisé le suivi administratif de l’action de formation ? L’accueil au sein de l’établissement d’un personnel du Greta ou du GIP FCIP est-il prévu, envisageable ? </w:t>
            </w:r>
          </w:p>
          <w:p w14:paraId="226227D6" w14:textId="30B81625" w:rsidR="00D647B1" w:rsidRPr="008C7E6F" w:rsidRDefault="00D647B1" w:rsidP="009A7A62">
            <w:pPr>
              <w:widowControl w:val="0"/>
              <w:tabs>
                <w:tab w:val="left" w:pos="323"/>
              </w:tabs>
              <w:rPr>
                <w:rFonts w:ascii="Arial" w:hAnsi="Arial" w:cs="Arial"/>
                <w:sz w:val="18"/>
                <w:szCs w:val="18"/>
              </w:rPr>
            </w:pPr>
          </w:p>
        </w:tc>
        <w:tc>
          <w:tcPr>
            <w:tcW w:w="236" w:type="dxa"/>
            <w:tcBorders>
              <w:top w:val="nil"/>
              <w:left w:val="single" w:sz="24" w:space="0" w:color="2AAC66"/>
              <w:bottom w:val="nil"/>
              <w:right w:val="single" w:sz="24" w:space="0" w:color="EE7444"/>
            </w:tcBorders>
          </w:tcPr>
          <w:p w14:paraId="2A9F06EC" w14:textId="77777777" w:rsidR="00A03D13" w:rsidRPr="00401CCB" w:rsidRDefault="00A03D13" w:rsidP="00410FCE">
            <w:pPr>
              <w:rPr>
                <w:rFonts w:asciiTheme="minorHAnsi" w:hAnsiTheme="minorHAnsi"/>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tcPr>
          <w:p w14:paraId="31D95ED5" w14:textId="77777777" w:rsidR="00A03D13" w:rsidRPr="00401CCB" w:rsidRDefault="00A03D13" w:rsidP="00410FCE">
            <w:pPr>
              <w:spacing w:before="60"/>
              <w:ind w:left="79"/>
              <w:rPr>
                <w:rFonts w:ascii="Arial" w:hAnsi="Arial" w:cs="Arial"/>
                <w:b/>
                <w:color w:val="EE7444"/>
              </w:rPr>
            </w:pPr>
            <w:r w:rsidRPr="00401CCB">
              <w:rPr>
                <w:rFonts w:ascii="Arial" w:hAnsi="Arial" w:cs="Arial"/>
                <w:b/>
                <w:color w:val="EE7444"/>
              </w:rPr>
              <w:t xml:space="preserve">Exemples d’indicateurs </w:t>
            </w:r>
          </w:p>
          <w:p w14:paraId="7B17D5B6" w14:textId="77777777" w:rsidR="00A03D13" w:rsidRPr="00401CCB" w:rsidRDefault="00A03D13" w:rsidP="009926C1">
            <w:pPr>
              <w:spacing w:after="12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08DAF88A" w14:textId="17D76402" w:rsidR="00BA57FB" w:rsidRDefault="00BA57FB" w:rsidP="00BA57FB">
            <w:pPr>
              <w:spacing w:after="60"/>
              <w:ind w:left="85"/>
              <w:rPr>
                <w:rFonts w:ascii="Arial" w:eastAsia="MS Mincho" w:hAnsi="Arial" w:cs="Arial"/>
                <w:sz w:val="18"/>
                <w:szCs w:val="18"/>
              </w:rPr>
            </w:pPr>
            <w:r w:rsidRPr="00BA57FB">
              <w:rPr>
                <w:rFonts w:ascii="Arial" w:eastAsia="MS Mincho" w:hAnsi="Arial" w:cs="Arial"/>
                <w:sz w:val="18"/>
                <w:szCs w:val="18"/>
              </w:rPr>
              <w:t xml:space="preserve">Part des locaux mise à disposition pour l’activité de formation continue </w:t>
            </w:r>
          </w:p>
          <w:p w14:paraId="2FD0BBEF" w14:textId="60110ADF" w:rsidR="009926C1" w:rsidRDefault="009926C1" w:rsidP="009926C1">
            <w:pPr>
              <w:spacing w:after="60"/>
              <w:ind w:left="87"/>
              <w:rPr>
                <w:rFonts w:ascii="Arial" w:eastAsia="MS Mincho" w:hAnsi="Arial" w:cs="Arial"/>
                <w:sz w:val="18"/>
                <w:szCs w:val="18"/>
              </w:rPr>
            </w:pPr>
            <w:r w:rsidRPr="009926C1">
              <w:rPr>
                <w:rFonts w:ascii="Arial" w:eastAsia="MS Mincho" w:hAnsi="Arial" w:cs="Arial"/>
                <w:sz w:val="18"/>
                <w:szCs w:val="18"/>
              </w:rPr>
              <w:t>Impact du développement des actions de formation continue sur l’équipement de l’établissement</w:t>
            </w:r>
          </w:p>
          <w:p w14:paraId="670A4A6C" w14:textId="77777777" w:rsidR="00A03D13" w:rsidRDefault="00A03D13" w:rsidP="00887215">
            <w:pPr>
              <w:widowControl w:val="0"/>
              <w:tabs>
                <w:tab w:val="left" w:pos="323"/>
              </w:tabs>
              <w:spacing w:after="60"/>
              <w:ind w:left="78" w:right="170"/>
              <w:rPr>
                <w:rFonts w:ascii="Arial" w:eastAsia="MS Mincho" w:hAnsi="Arial" w:cs="Arial"/>
                <w:sz w:val="18"/>
                <w:szCs w:val="18"/>
              </w:rPr>
            </w:pPr>
          </w:p>
          <w:p w14:paraId="471C3726"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662C03C1"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252CB718"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182DF2F3"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7A9E5596"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3E8D4BF2" w14:textId="4E1AF10D" w:rsidR="008776F6" w:rsidRDefault="008776F6" w:rsidP="00887215">
            <w:pPr>
              <w:widowControl w:val="0"/>
              <w:tabs>
                <w:tab w:val="left" w:pos="323"/>
              </w:tabs>
              <w:spacing w:after="60"/>
              <w:ind w:left="78" w:right="170"/>
              <w:rPr>
                <w:rFonts w:ascii="Arial" w:eastAsia="MS Mincho" w:hAnsi="Arial" w:cs="Arial"/>
                <w:sz w:val="18"/>
                <w:szCs w:val="18"/>
              </w:rPr>
            </w:pPr>
            <w:r>
              <w:rPr>
                <w:rFonts w:ascii="Arial" w:eastAsia="MS Mincho" w:hAnsi="Arial" w:cs="Arial"/>
                <w:sz w:val="18"/>
                <w:szCs w:val="18"/>
              </w:rPr>
              <w:t>Part des personnels non-enseignants formés à l’accueil des publics non scolaires, en capacité d’orienter les publics</w:t>
            </w:r>
          </w:p>
          <w:p w14:paraId="28CF0797"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520D26D1"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7B204B8C" w14:textId="77777777" w:rsidR="00BE62DB" w:rsidRDefault="00BE62DB" w:rsidP="00BE62DB">
            <w:pPr>
              <w:widowControl w:val="0"/>
              <w:tabs>
                <w:tab w:val="left" w:pos="323"/>
              </w:tabs>
              <w:spacing w:after="60"/>
              <w:ind w:right="170"/>
              <w:rPr>
                <w:rFonts w:ascii="Arial" w:eastAsia="MS Mincho" w:hAnsi="Arial" w:cs="Arial"/>
                <w:sz w:val="18"/>
                <w:szCs w:val="18"/>
              </w:rPr>
            </w:pPr>
          </w:p>
          <w:p w14:paraId="78554126"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202888F5"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04630118" w14:textId="77777777" w:rsidR="00BE62DB" w:rsidRDefault="00BE62DB" w:rsidP="00887215">
            <w:pPr>
              <w:widowControl w:val="0"/>
              <w:tabs>
                <w:tab w:val="left" w:pos="323"/>
              </w:tabs>
              <w:spacing w:after="60"/>
              <w:ind w:left="78" w:right="170"/>
              <w:rPr>
                <w:rFonts w:ascii="Arial" w:eastAsia="MS Mincho" w:hAnsi="Arial" w:cs="Arial"/>
                <w:sz w:val="18"/>
                <w:szCs w:val="18"/>
              </w:rPr>
            </w:pPr>
          </w:p>
          <w:p w14:paraId="7EBBEBC0" w14:textId="159B630C" w:rsidR="00BE62DB" w:rsidRPr="00401CCB" w:rsidRDefault="00BE62DB" w:rsidP="00887215">
            <w:pPr>
              <w:widowControl w:val="0"/>
              <w:tabs>
                <w:tab w:val="left" w:pos="323"/>
              </w:tabs>
              <w:spacing w:after="60"/>
              <w:ind w:left="78" w:right="170"/>
              <w:rPr>
                <w:rFonts w:ascii="Arial" w:eastAsia="MS Mincho" w:hAnsi="Arial" w:cs="Arial"/>
                <w:sz w:val="18"/>
                <w:szCs w:val="18"/>
              </w:rPr>
            </w:pPr>
            <w:r w:rsidRPr="00BE62DB">
              <w:rPr>
                <w:rFonts w:ascii="Arial" w:eastAsia="MS Mincho" w:hAnsi="Arial" w:cs="Arial"/>
                <w:sz w:val="18"/>
                <w:szCs w:val="18"/>
              </w:rPr>
              <w:t>Taux de satisfaction des différentes parties prenantes (stagiaires, enseignants-formateurs, formateurs externes, financeurs…)</w:t>
            </w:r>
          </w:p>
        </w:tc>
      </w:tr>
    </w:tbl>
    <w:p w14:paraId="34AA348D" w14:textId="77777777" w:rsidR="00A03D13" w:rsidRDefault="00A03D13" w:rsidP="00780F39">
      <w:pPr>
        <w:ind w:left="-567"/>
        <w:sectPr w:rsidR="00A03D13" w:rsidSect="00744498">
          <w:footerReference w:type="default" r:id="rId42"/>
          <w:pgSz w:w="16838" w:h="11906" w:orient="landscape"/>
          <w:pgMar w:top="284" w:right="1387" w:bottom="1" w:left="1134" w:header="567" w:footer="397" w:gutter="0"/>
          <w:cols w:space="708"/>
          <w:docGrid w:linePitch="360"/>
        </w:sectPr>
      </w:pPr>
    </w:p>
    <w:tbl>
      <w:tblPr>
        <w:tblStyle w:val="Grilledutableau2"/>
        <w:tblW w:w="16018" w:type="dxa"/>
        <w:tblInd w:w="-590" w:type="dxa"/>
        <w:tblLook w:val="04A0" w:firstRow="1" w:lastRow="0" w:firstColumn="1" w:lastColumn="0" w:noHBand="0" w:noVBand="1"/>
      </w:tblPr>
      <w:tblGrid>
        <w:gridCol w:w="5443"/>
        <w:gridCol w:w="236"/>
        <w:gridCol w:w="86"/>
        <w:gridCol w:w="6993"/>
        <w:gridCol w:w="236"/>
        <w:gridCol w:w="101"/>
        <w:gridCol w:w="2923"/>
      </w:tblGrid>
      <w:tr w:rsidR="00A03D13" w:rsidRPr="00401CCB" w14:paraId="78B21E8D" w14:textId="77777777" w:rsidTr="00410FCE">
        <w:trPr>
          <w:trHeight w:hRule="exact" w:val="1457"/>
        </w:trPr>
        <w:tc>
          <w:tcPr>
            <w:tcW w:w="12758" w:type="dxa"/>
            <w:gridSpan w:val="4"/>
            <w:tcBorders>
              <w:top w:val="single" w:sz="18" w:space="0" w:color="00B5C6"/>
              <w:left w:val="single" w:sz="18" w:space="0" w:color="00B5C6"/>
              <w:bottom w:val="single" w:sz="18" w:space="0" w:color="00B5C6"/>
              <w:right w:val="single" w:sz="18" w:space="0" w:color="00B5C6"/>
            </w:tcBorders>
            <w:shd w:val="clear" w:color="auto" w:fill="auto"/>
          </w:tcPr>
          <w:p w14:paraId="6CBACFBD" w14:textId="14DA118E" w:rsidR="00A03D13" w:rsidRDefault="00A03D13" w:rsidP="00410FCE">
            <w:pPr>
              <w:pStyle w:val="Titre2"/>
              <w:numPr>
                <w:ilvl w:val="0"/>
                <w:numId w:val="0"/>
              </w:numPr>
              <w:rPr>
                <w:rFonts w:ascii="Arial" w:hAnsi="Arial" w:cs="Arial"/>
                <w:sz w:val="30"/>
                <w:szCs w:val="30"/>
                <w:lang w:val="fr-FR"/>
              </w:rPr>
            </w:pPr>
            <w:r w:rsidRPr="009B360E">
              <w:rPr>
                <w:rFonts w:ascii="Arial" w:hAnsi="Arial" w:cs="Arial"/>
                <w:sz w:val="30"/>
                <w:szCs w:val="30"/>
                <w:lang w:val="fr-FR"/>
              </w:rPr>
              <w:t>2.1</w:t>
            </w:r>
            <w:r>
              <w:rPr>
                <w:rFonts w:ascii="Arial" w:hAnsi="Arial" w:cs="Arial"/>
                <w:sz w:val="30"/>
                <w:szCs w:val="30"/>
                <w:lang w:val="fr-FR"/>
              </w:rPr>
              <w:t>4</w:t>
            </w:r>
            <w:r w:rsidRPr="009B360E">
              <w:rPr>
                <w:rFonts w:ascii="Arial" w:hAnsi="Arial" w:cs="Arial"/>
                <w:sz w:val="30"/>
                <w:szCs w:val="30"/>
                <w:lang w:val="fr-FR"/>
              </w:rPr>
              <w:t xml:space="preserve"> Proposer des actions de formation continue pour adultes dans un EPLE (</w:t>
            </w:r>
            <w:r w:rsidR="00505BAC">
              <w:rPr>
                <w:rFonts w:ascii="Arial" w:hAnsi="Arial" w:cs="Arial"/>
                <w:sz w:val="30"/>
                <w:szCs w:val="30"/>
                <w:lang w:val="fr-FR"/>
              </w:rPr>
              <w:t>4</w:t>
            </w:r>
            <w:r w:rsidRPr="009B360E">
              <w:rPr>
                <w:rFonts w:ascii="Arial" w:hAnsi="Arial" w:cs="Arial"/>
                <w:sz w:val="30"/>
                <w:szCs w:val="30"/>
                <w:lang w:val="fr-FR"/>
              </w:rPr>
              <w:t>/</w:t>
            </w:r>
            <w:r w:rsidR="00505BAC">
              <w:rPr>
                <w:rFonts w:ascii="Arial" w:hAnsi="Arial" w:cs="Arial"/>
                <w:sz w:val="30"/>
                <w:szCs w:val="30"/>
                <w:lang w:val="fr-FR"/>
              </w:rPr>
              <w:t>4</w:t>
            </w:r>
            <w:r w:rsidRPr="009B360E">
              <w:rPr>
                <w:rFonts w:ascii="Arial" w:hAnsi="Arial" w:cs="Arial"/>
                <w:sz w:val="30"/>
                <w:szCs w:val="30"/>
                <w:lang w:val="fr-FR"/>
              </w:rPr>
              <w:t>)</w:t>
            </w:r>
          </w:p>
          <w:p w14:paraId="55C07467" w14:textId="77777777" w:rsidR="00A03D13" w:rsidRDefault="00A03D13" w:rsidP="00410FCE">
            <w:pPr>
              <w:pStyle w:val="Titre2"/>
              <w:numPr>
                <w:ilvl w:val="0"/>
                <w:numId w:val="0"/>
              </w:numPr>
              <w:rPr>
                <w:rFonts w:ascii="Arial" w:eastAsia="MS Mincho" w:hAnsi="Arial" w:cs="Arial"/>
                <w:b w:val="0"/>
                <w:color w:val="0000FF"/>
                <w:sz w:val="14"/>
                <w:szCs w:val="14"/>
                <w:u w:val="single"/>
                <w:lang w:val="fr-FR" w:eastAsia="ja-JP"/>
              </w:rPr>
            </w:pPr>
            <w:r w:rsidRPr="009B360E">
              <w:rPr>
                <w:rFonts w:ascii="Arial" w:eastAsia="MS Mincho" w:hAnsi="Arial" w:cs="Arial"/>
                <w:b w:val="0"/>
                <w:bCs w:val="0"/>
                <w:color w:val="auto"/>
                <w:sz w:val="14"/>
                <w:szCs w:val="14"/>
                <w:lang w:val="fr-FR" w:eastAsia="ja-JP"/>
              </w:rPr>
              <w:t xml:space="preserve">Code de l’éducation : </w:t>
            </w:r>
            <w:hyperlink r:id="rId43" w:history="1">
              <w:r w:rsidRPr="009B360E">
                <w:rPr>
                  <w:rFonts w:ascii="Arial" w:eastAsia="MS Mincho" w:hAnsi="Arial" w:cs="Arial"/>
                  <w:b w:val="0"/>
                  <w:bCs w:val="0"/>
                  <w:color w:val="0000FF"/>
                  <w:sz w:val="14"/>
                  <w:szCs w:val="14"/>
                  <w:u w:val="single"/>
                  <w:lang w:val="fr-FR" w:eastAsia="ja-JP"/>
                </w:rPr>
                <w:t>art. D. 122-5 à art. D. 122-7</w:t>
              </w:r>
            </w:hyperlink>
            <w:r w:rsidRPr="009B360E">
              <w:rPr>
                <w:rFonts w:ascii="Arial" w:eastAsia="MS Mincho" w:hAnsi="Arial" w:cs="Arial"/>
                <w:b w:val="0"/>
                <w:bCs w:val="0"/>
                <w:color w:val="auto"/>
                <w:sz w:val="14"/>
                <w:szCs w:val="14"/>
                <w:lang w:val="fr-FR" w:eastAsia="ja-JP"/>
              </w:rPr>
              <w:t xml:space="preserve"> (mission de formation continue des adultes), </w:t>
            </w:r>
            <w:hyperlink r:id="rId44" w:history="1">
              <w:r w:rsidRPr="009B360E">
                <w:rPr>
                  <w:rFonts w:ascii="Arial" w:eastAsia="MS Mincho" w:hAnsi="Arial" w:cs="Arial"/>
                  <w:b w:val="0"/>
                  <w:bCs w:val="0"/>
                  <w:color w:val="0000FF"/>
                  <w:sz w:val="14"/>
                  <w:szCs w:val="14"/>
                  <w:u w:val="single"/>
                  <w:lang w:val="fr-FR" w:eastAsia="ja-JP"/>
                </w:rPr>
                <w:t>art. D122-9-1 et art. D122-9-2</w:t>
              </w:r>
            </w:hyperlink>
            <w:r w:rsidRPr="009B360E">
              <w:rPr>
                <w:rFonts w:ascii="Arial" w:eastAsia="MS Mincho" w:hAnsi="Arial" w:cs="Arial"/>
                <w:b w:val="0"/>
                <w:bCs w:val="0"/>
                <w:color w:val="auto"/>
                <w:sz w:val="14"/>
                <w:szCs w:val="14"/>
                <w:lang w:val="fr-FR" w:eastAsia="ja-JP"/>
              </w:rPr>
              <w:t xml:space="preserve"> (le label qualité « ÉDUFORM »), </w:t>
            </w:r>
            <w:hyperlink r:id="rId45" w:history="1">
              <w:r w:rsidRPr="009B360E">
                <w:rPr>
                  <w:rFonts w:ascii="Arial" w:eastAsia="MS Mincho" w:hAnsi="Arial" w:cs="Arial"/>
                  <w:b w:val="0"/>
                  <w:bCs w:val="0"/>
                  <w:color w:val="0000FF"/>
                  <w:sz w:val="14"/>
                  <w:szCs w:val="14"/>
                  <w:u w:val="single"/>
                  <w:lang w:val="fr-FR" w:eastAsia="ja-JP"/>
                </w:rPr>
                <w:t>art. L. 335-5</w:t>
              </w:r>
            </w:hyperlink>
            <w:r w:rsidRPr="009B360E">
              <w:rPr>
                <w:rFonts w:ascii="Arial" w:eastAsia="MS Mincho" w:hAnsi="Arial" w:cs="Arial"/>
                <w:b w:val="0"/>
                <w:bCs w:val="0"/>
                <w:color w:val="auto"/>
                <w:sz w:val="14"/>
                <w:szCs w:val="14"/>
                <w:lang w:val="fr-FR" w:eastAsia="ja-JP"/>
              </w:rPr>
              <w:t xml:space="preserve"> (VAE) et </w:t>
            </w:r>
            <w:r w:rsidRPr="009B360E">
              <w:rPr>
                <w:rFonts w:ascii="Arial" w:eastAsia="MS Mincho" w:hAnsi="Arial" w:cs="Arial"/>
                <w:b w:val="0"/>
                <w:bCs w:val="0"/>
                <w:color w:val="auto"/>
                <w:sz w:val="14"/>
                <w:szCs w:val="14"/>
                <w:lang w:val="fr-FR" w:eastAsia="ja-JP"/>
              </w:rPr>
              <w:br/>
            </w:r>
            <w:hyperlink r:id="rId46" w:history="1">
              <w:r w:rsidRPr="009B360E">
                <w:rPr>
                  <w:rFonts w:ascii="Arial" w:eastAsia="MS Mincho" w:hAnsi="Arial" w:cs="Arial"/>
                  <w:b w:val="0"/>
                  <w:bCs w:val="0"/>
                  <w:color w:val="0000FF"/>
                  <w:sz w:val="14"/>
                  <w:szCs w:val="14"/>
                  <w:u w:val="single"/>
                  <w:lang w:val="fr-FR" w:eastAsia="ja-JP"/>
                </w:rPr>
                <w:t>art. L. 335-6</w:t>
              </w:r>
            </w:hyperlink>
            <w:r w:rsidRPr="009B360E">
              <w:rPr>
                <w:rFonts w:ascii="Arial" w:eastAsia="MS Mincho" w:hAnsi="Arial" w:cs="Arial"/>
                <w:b w:val="0"/>
                <w:bCs w:val="0"/>
                <w:color w:val="auto"/>
                <w:sz w:val="14"/>
                <w:szCs w:val="14"/>
                <w:lang w:val="fr-FR" w:eastAsia="ja-JP"/>
              </w:rPr>
              <w:t xml:space="preserve"> (RNCP),</w:t>
            </w:r>
            <w:r w:rsidRPr="009B360E">
              <w:rPr>
                <w:rFonts w:ascii="Arial" w:eastAsia="MS Mincho" w:hAnsi="Arial" w:cs="Arial"/>
                <w:b w:val="0"/>
                <w:bCs w:val="0"/>
                <w:color w:val="FF0000"/>
                <w:sz w:val="14"/>
                <w:szCs w:val="14"/>
                <w:lang w:val="fr-FR" w:eastAsia="ja-JP"/>
              </w:rPr>
              <w:t xml:space="preserve"> </w:t>
            </w:r>
            <w:hyperlink r:id="rId47" w:history="1">
              <w:r w:rsidRPr="009B360E">
                <w:rPr>
                  <w:rFonts w:ascii="Arial" w:hAnsi="Arial" w:cs="Arial"/>
                  <w:b w:val="0"/>
                  <w:bCs w:val="0"/>
                  <w:color w:val="0000FF"/>
                  <w:sz w:val="14"/>
                  <w:szCs w:val="14"/>
                  <w:u w:val="single"/>
                  <w:lang w:val="fr-FR" w:eastAsia="ja-JP"/>
                </w:rPr>
                <w:t>Arrêté du 3 juillet 2025</w:t>
              </w:r>
            </w:hyperlink>
            <w:r w:rsidRPr="009B360E">
              <w:rPr>
                <w:rFonts w:ascii="Arial" w:hAnsi="Arial" w:cs="Arial"/>
                <w:b w:val="0"/>
                <w:bCs w:val="0"/>
                <w:color w:val="auto"/>
                <w:sz w:val="14"/>
                <w:szCs w:val="14"/>
                <w:lang w:val="fr-FR" w:eastAsia="ja-JP"/>
              </w:rPr>
              <w:t xml:space="preserve"> (accompagnement des personnes engagées dans un parcours de VAE). </w:t>
            </w:r>
            <w:hyperlink r:id="rId48" w:history="1">
              <w:r w:rsidRPr="009B360E">
                <w:rPr>
                  <w:rFonts w:ascii="Arial" w:eastAsia="MS Mincho" w:hAnsi="Arial" w:cs="Arial"/>
                  <w:b w:val="0"/>
                  <w:bCs w:val="0"/>
                  <w:color w:val="0000FF"/>
                  <w:sz w:val="14"/>
                  <w:szCs w:val="14"/>
                  <w:u w:val="single"/>
                  <w:lang w:val="fr-FR" w:eastAsia="ja-JP"/>
                </w:rPr>
                <w:t>Article D423-1 à D423-11 </w:t>
              </w:r>
            </w:hyperlink>
            <w:r w:rsidRPr="009B360E">
              <w:rPr>
                <w:rFonts w:ascii="Arial" w:eastAsia="MS Mincho" w:hAnsi="Arial" w:cs="Arial"/>
                <w:b w:val="0"/>
                <w:bCs w:val="0"/>
                <w:color w:val="auto"/>
                <w:sz w:val="14"/>
                <w:szCs w:val="14"/>
                <w:lang w:val="fr-FR" w:eastAsia="ja-JP"/>
              </w:rPr>
              <w:t>(possibilité pour les établissements scolaires de constituer un GIP, un Greta) Code du travail, sixième partie : La formation professionnelle tout au long de la vie (</w:t>
            </w:r>
            <w:hyperlink r:id="rId49" w:history="1">
              <w:r w:rsidRPr="009B360E">
                <w:rPr>
                  <w:rFonts w:ascii="Arial" w:eastAsia="MS Mincho" w:hAnsi="Arial" w:cs="Arial"/>
                  <w:b w:val="0"/>
                  <w:bCs w:val="0"/>
                  <w:color w:val="0000FF"/>
                  <w:sz w:val="14"/>
                  <w:szCs w:val="14"/>
                  <w:u w:val="single"/>
                  <w:lang w:val="fr-FR" w:eastAsia="ja-JP"/>
                </w:rPr>
                <w:t>Articles L6111-1 à L6523-7</w:t>
              </w:r>
            </w:hyperlink>
            <w:r w:rsidRPr="009B360E">
              <w:rPr>
                <w:rFonts w:ascii="Arial" w:eastAsia="MS Mincho" w:hAnsi="Arial" w:cs="Arial"/>
                <w:b w:val="0"/>
                <w:bCs w:val="0"/>
                <w:color w:val="auto"/>
                <w:sz w:val="14"/>
                <w:szCs w:val="14"/>
                <w:lang w:val="fr-FR" w:eastAsia="ja-JP"/>
              </w:rPr>
              <w:t xml:space="preserve">). </w:t>
            </w:r>
            <w:r w:rsidRPr="009B360E">
              <w:rPr>
                <w:rFonts w:ascii="Arial" w:eastAsia="MS Mincho" w:hAnsi="Arial" w:cs="Arial"/>
                <w:b w:val="0"/>
                <w:color w:val="auto"/>
                <w:sz w:val="14"/>
                <w:szCs w:val="14"/>
                <w:lang w:val="fr-FR" w:eastAsia="ja-JP"/>
              </w:rPr>
              <w:t xml:space="preserve">Conventions constitutives des GIP : </w:t>
            </w:r>
            <w:hyperlink r:id="rId50" w:history="1">
              <w:r w:rsidRPr="009B360E">
                <w:rPr>
                  <w:rFonts w:ascii="Arial" w:eastAsia="MS Mincho" w:hAnsi="Arial" w:cs="Arial"/>
                  <w:b w:val="0"/>
                  <w:color w:val="0000FF"/>
                  <w:sz w:val="14"/>
                  <w:szCs w:val="14"/>
                  <w:u w:val="single"/>
                  <w:lang w:val="fr-FR" w:eastAsia="ja-JP"/>
                </w:rPr>
                <w:t>loi n° 2011-525 du 17 mai 2011</w:t>
              </w:r>
            </w:hyperlink>
            <w:r w:rsidRPr="009B360E">
              <w:rPr>
                <w:rFonts w:ascii="Arial" w:eastAsia="MS Mincho" w:hAnsi="Arial" w:cs="Arial"/>
                <w:b w:val="0"/>
                <w:color w:val="0000FF"/>
                <w:sz w:val="14"/>
                <w:szCs w:val="14"/>
                <w:u w:val="single"/>
                <w:lang w:val="fr-FR" w:eastAsia="ja-JP"/>
              </w:rPr>
              <w:t xml:space="preserve"> de simplification et d'amélioration de la qualité du droit, chapitre II</w:t>
            </w:r>
            <w:r w:rsidRPr="009B360E">
              <w:rPr>
                <w:rFonts w:ascii="Arial" w:eastAsia="MS Mincho" w:hAnsi="Arial" w:cs="Arial"/>
                <w:b w:val="0"/>
                <w:color w:val="0000FF"/>
                <w:sz w:val="14"/>
                <w:szCs w:val="14"/>
                <w:lang w:val="fr-FR" w:eastAsia="ja-JP"/>
              </w:rPr>
              <w:t xml:space="preserve"> et </w:t>
            </w:r>
            <w:hyperlink r:id="rId51" w:history="1">
              <w:r w:rsidRPr="009B360E">
                <w:rPr>
                  <w:rFonts w:ascii="Arial" w:eastAsia="MS Mincho" w:hAnsi="Arial" w:cs="Arial"/>
                  <w:b w:val="0"/>
                  <w:color w:val="0000FF"/>
                  <w:sz w:val="14"/>
                  <w:szCs w:val="14"/>
                  <w:u w:val="single"/>
                  <w:lang w:val="fr-FR" w:eastAsia="ja-JP"/>
                </w:rPr>
                <w:t>circulaire n° 2013-077</w:t>
              </w:r>
            </w:hyperlink>
            <w:r w:rsidRPr="009B360E">
              <w:rPr>
                <w:rFonts w:ascii="Arial" w:eastAsia="MS Mincho" w:hAnsi="Arial" w:cs="Arial"/>
                <w:b w:val="0"/>
                <w:color w:val="FF0000"/>
                <w:sz w:val="14"/>
                <w:szCs w:val="14"/>
                <w:lang w:val="fr-FR" w:eastAsia="ja-JP"/>
              </w:rPr>
              <w:t xml:space="preserve"> </w:t>
            </w:r>
            <w:r w:rsidRPr="009B360E">
              <w:rPr>
                <w:rFonts w:ascii="Arial" w:eastAsia="MS Mincho" w:hAnsi="Arial" w:cs="Arial"/>
                <w:b w:val="0"/>
                <w:color w:val="auto"/>
                <w:sz w:val="14"/>
                <w:szCs w:val="14"/>
                <w:lang w:val="fr-FR" w:eastAsia="ja-JP"/>
              </w:rPr>
              <w:t>du 6 mai 2013 relative à l’organisation et au fonctionnement des GIP-FCIP. Conventions constitutives des Greta </w:t>
            </w:r>
            <w:r w:rsidRPr="009B360E">
              <w:rPr>
                <w:rFonts w:ascii="Arial" w:eastAsia="MS Mincho" w:hAnsi="Arial" w:cs="Arial"/>
                <w:b w:val="0"/>
                <w:color w:val="0000FF"/>
                <w:sz w:val="14"/>
                <w:szCs w:val="14"/>
                <w:lang w:val="fr-FR" w:eastAsia="ja-JP"/>
              </w:rPr>
              <w:t xml:space="preserve">: </w:t>
            </w:r>
            <w:hyperlink r:id="rId52" w:anchor="LEGISCTA000027993060" w:history="1">
              <w:r w:rsidRPr="009B360E">
                <w:rPr>
                  <w:rFonts w:ascii="Arial" w:eastAsia="MS Mincho" w:hAnsi="Arial" w:cs="Arial"/>
                  <w:b w:val="0"/>
                  <w:color w:val="0000FF"/>
                  <w:sz w:val="14"/>
                  <w:szCs w:val="14"/>
                  <w:u w:val="single"/>
                  <w:lang w:val="fr-FR" w:eastAsia="ja-JP"/>
                </w:rPr>
                <w:t xml:space="preserve">articles D423-1 à D423-12 </w:t>
              </w:r>
            </w:hyperlink>
            <w:r w:rsidRPr="009B360E">
              <w:rPr>
                <w:rFonts w:ascii="Arial" w:eastAsia="MS Mincho" w:hAnsi="Arial" w:cs="Arial"/>
                <w:b w:val="0"/>
                <w:color w:val="0000FF"/>
                <w:sz w:val="14"/>
                <w:szCs w:val="14"/>
                <w:u w:val="single"/>
                <w:lang w:val="fr-FR" w:eastAsia="ja-JP"/>
              </w:rPr>
              <w:t>du code de l’éducation</w:t>
            </w:r>
            <w:r w:rsidRPr="009B360E">
              <w:rPr>
                <w:rFonts w:ascii="Arial" w:eastAsia="MS Mincho" w:hAnsi="Arial" w:cs="Arial"/>
                <w:b w:val="0"/>
                <w:color w:val="0000FF"/>
                <w:sz w:val="14"/>
                <w:szCs w:val="14"/>
                <w:lang w:val="fr-FR" w:eastAsia="ja-JP"/>
              </w:rPr>
              <w:t xml:space="preserve"> et </w:t>
            </w:r>
            <w:hyperlink r:id="rId53" w:history="1">
              <w:r w:rsidRPr="009B360E">
                <w:rPr>
                  <w:rFonts w:ascii="Arial" w:eastAsia="MS Mincho" w:hAnsi="Arial" w:cs="Arial"/>
                  <w:b w:val="0"/>
                  <w:color w:val="0000FF"/>
                  <w:sz w:val="14"/>
                  <w:szCs w:val="14"/>
                  <w:u w:val="single"/>
                  <w:lang w:val="fr-FR" w:eastAsia="ja-JP"/>
                </w:rPr>
                <w:t xml:space="preserve">circulaire n° 2014-009 du 4-2-2014 </w:t>
              </w:r>
            </w:hyperlink>
            <w:r w:rsidRPr="009B360E">
              <w:rPr>
                <w:rFonts w:ascii="Arial" w:eastAsia="MS Mincho" w:hAnsi="Arial" w:cs="Arial"/>
                <w:b w:val="0"/>
                <w:color w:val="0000FF"/>
                <w:sz w:val="14"/>
                <w:szCs w:val="14"/>
                <w:u w:val="single"/>
                <w:lang w:val="fr-FR" w:eastAsia="ja-JP"/>
              </w:rPr>
              <w:t>relative à l’organisation et au fonctionnement des Greta.</w:t>
            </w:r>
          </w:p>
          <w:p w14:paraId="533E7F3D" w14:textId="77777777" w:rsidR="00A03D13" w:rsidRPr="009B360E" w:rsidRDefault="00A03D13" w:rsidP="00410FCE">
            <w:pPr>
              <w:pStyle w:val="Sansinterligne"/>
            </w:pPr>
          </w:p>
        </w:tc>
        <w:tc>
          <w:tcPr>
            <w:tcW w:w="337" w:type="dxa"/>
            <w:gridSpan w:val="2"/>
            <w:tcBorders>
              <w:top w:val="nil"/>
              <w:left w:val="single" w:sz="18" w:space="0" w:color="00B5C6"/>
              <w:bottom w:val="nil"/>
              <w:right w:val="nil"/>
            </w:tcBorders>
            <w:shd w:val="clear" w:color="auto" w:fill="auto"/>
          </w:tcPr>
          <w:p w14:paraId="1FA42F9D" w14:textId="77777777" w:rsidR="00A03D13" w:rsidRPr="00401CCB" w:rsidRDefault="00A03D13" w:rsidP="00410FCE">
            <w:pPr>
              <w:rPr>
                <w:rFonts w:asciiTheme="minorHAnsi" w:hAnsiTheme="minorHAnsi"/>
                <w:sz w:val="17"/>
                <w:szCs w:val="17"/>
              </w:rPr>
            </w:pPr>
          </w:p>
        </w:tc>
        <w:tc>
          <w:tcPr>
            <w:tcW w:w="2923" w:type="dxa"/>
            <w:tcBorders>
              <w:top w:val="nil"/>
              <w:left w:val="nil"/>
              <w:bottom w:val="nil"/>
              <w:right w:val="nil"/>
            </w:tcBorders>
            <w:shd w:val="clear" w:color="auto" w:fill="auto"/>
            <w:vAlign w:val="center"/>
          </w:tcPr>
          <w:p w14:paraId="78C35573" w14:textId="77777777" w:rsidR="00A03D13" w:rsidRPr="00401CCB" w:rsidRDefault="00A03D13" w:rsidP="00410FCE">
            <w:pPr>
              <w:ind w:left="-283"/>
              <w:jc w:val="center"/>
              <w:rPr>
                <w:rFonts w:asciiTheme="minorHAnsi" w:hAnsiTheme="minorHAnsi"/>
                <w:b/>
                <w:color w:val="FFFFFF"/>
                <w:sz w:val="24"/>
                <w:szCs w:val="24"/>
              </w:rPr>
            </w:pPr>
            <w:r w:rsidRPr="00401CCB">
              <w:rPr>
                <w:noProof/>
                <w:lang w:eastAsia="fr-FR"/>
              </w:rPr>
              <w:drawing>
                <wp:inline distT="0" distB="0" distL="0" distR="0" wp14:anchorId="6B20546B" wp14:editId="5253826F">
                  <wp:extent cx="1438275" cy="571502"/>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5932" cy="578518"/>
                          </a:xfrm>
                          <a:prstGeom prst="rect">
                            <a:avLst/>
                          </a:prstGeom>
                          <a:noFill/>
                        </pic:spPr>
                      </pic:pic>
                    </a:graphicData>
                  </a:graphic>
                </wp:inline>
              </w:drawing>
            </w:r>
          </w:p>
        </w:tc>
      </w:tr>
      <w:tr w:rsidR="00A03D13" w:rsidRPr="00401CCB" w14:paraId="5E7F675E" w14:textId="77777777" w:rsidTr="00410FCE">
        <w:trPr>
          <w:trHeight w:val="57"/>
        </w:trPr>
        <w:tc>
          <w:tcPr>
            <w:tcW w:w="5443" w:type="dxa"/>
            <w:tcBorders>
              <w:top w:val="nil"/>
              <w:left w:val="nil"/>
              <w:bottom w:val="single" w:sz="24" w:space="0" w:color="951B81"/>
              <w:right w:val="nil"/>
            </w:tcBorders>
            <w:shd w:val="clear" w:color="auto" w:fill="auto"/>
          </w:tcPr>
          <w:p w14:paraId="644AF823" w14:textId="77777777" w:rsidR="00A03D13" w:rsidRPr="00401CCB" w:rsidRDefault="00A03D13" w:rsidP="00410FCE">
            <w:pPr>
              <w:rPr>
                <w:rFonts w:asciiTheme="minorHAnsi" w:hAnsiTheme="minorHAnsi"/>
                <w:b/>
                <w:color w:val="FFFFFF"/>
                <w:sz w:val="8"/>
                <w:szCs w:val="8"/>
              </w:rPr>
            </w:pPr>
          </w:p>
        </w:tc>
        <w:tc>
          <w:tcPr>
            <w:tcW w:w="322" w:type="dxa"/>
            <w:gridSpan w:val="2"/>
            <w:tcBorders>
              <w:top w:val="nil"/>
              <w:left w:val="nil"/>
              <w:bottom w:val="nil"/>
              <w:right w:val="nil"/>
            </w:tcBorders>
            <w:shd w:val="clear" w:color="auto" w:fill="auto"/>
          </w:tcPr>
          <w:p w14:paraId="2B1E4CBA" w14:textId="77777777" w:rsidR="00A03D13" w:rsidRPr="00401CCB" w:rsidRDefault="00A03D13" w:rsidP="00410FCE">
            <w:pPr>
              <w:rPr>
                <w:rFonts w:asciiTheme="minorHAnsi" w:hAnsiTheme="minorHAnsi"/>
                <w:sz w:val="8"/>
                <w:szCs w:val="8"/>
              </w:rPr>
            </w:pPr>
          </w:p>
        </w:tc>
        <w:tc>
          <w:tcPr>
            <w:tcW w:w="6993" w:type="dxa"/>
            <w:tcBorders>
              <w:top w:val="nil"/>
              <w:left w:val="nil"/>
              <w:bottom w:val="single" w:sz="24" w:space="0" w:color="2AAC66"/>
              <w:right w:val="nil"/>
            </w:tcBorders>
            <w:shd w:val="clear" w:color="auto" w:fill="auto"/>
          </w:tcPr>
          <w:p w14:paraId="447258A2" w14:textId="77777777" w:rsidR="00A03D13" w:rsidRPr="00401CCB" w:rsidRDefault="00A03D13" w:rsidP="00410FCE">
            <w:pPr>
              <w:rPr>
                <w:rFonts w:asciiTheme="minorHAnsi" w:hAnsiTheme="minorHAnsi"/>
                <w:b/>
                <w:color w:val="FFFFFF"/>
                <w:sz w:val="8"/>
                <w:szCs w:val="8"/>
              </w:rPr>
            </w:pPr>
          </w:p>
        </w:tc>
        <w:tc>
          <w:tcPr>
            <w:tcW w:w="337" w:type="dxa"/>
            <w:gridSpan w:val="2"/>
            <w:tcBorders>
              <w:top w:val="nil"/>
              <w:left w:val="nil"/>
              <w:bottom w:val="nil"/>
              <w:right w:val="nil"/>
            </w:tcBorders>
            <w:shd w:val="clear" w:color="auto" w:fill="auto"/>
          </w:tcPr>
          <w:p w14:paraId="71BF0941" w14:textId="77777777" w:rsidR="00A03D13" w:rsidRPr="00401CCB" w:rsidRDefault="00A03D13" w:rsidP="00410FCE">
            <w:pPr>
              <w:rPr>
                <w:rFonts w:asciiTheme="minorHAnsi" w:hAnsiTheme="minorHAnsi"/>
                <w:sz w:val="8"/>
                <w:szCs w:val="8"/>
              </w:rPr>
            </w:pPr>
          </w:p>
        </w:tc>
        <w:tc>
          <w:tcPr>
            <w:tcW w:w="2923" w:type="dxa"/>
            <w:tcBorders>
              <w:top w:val="nil"/>
              <w:left w:val="nil"/>
              <w:bottom w:val="single" w:sz="24" w:space="0" w:color="EE7444"/>
              <w:right w:val="nil"/>
            </w:tcBorders>
            <w:shd w:val="clear" w:color="auto" w:fill="auto"/>
          </w:tcPr>
          <w:p w14:paraId="48D2EA9D" w14:textId="77777777" w:rsidR="00A03D13" w:rsidRPr="00401CCB" w:rsidRDefault="00A03D13" w:rsidP="00410FCE">
            <w:pPr>
              <w:rPr>
                <w:rFonts w:asciiTheme="minorHAnsi" w:hAnsiTheme="minorHAnsi"/>
                <w:b/>
                <w:color w:val="FFFFFF"/>
                <w:sz w:val="8"/>
                <w:szCs w:val="8"/>
              </w:rPr>
            </w:pPr>
          </w:p>
        </w:tc>
      </w:tr>
      <w:tr w:rsidR="00A03D13" w:rsidRPr="00401CCB" w14:paraId="1DD99943" w14:textId="77777777" w:rsidTr="00410FCE">
        <w:trPr>
          <w:trHeight w:hRule="exact" w:val="573"/>
        </w:trPr>
        <w:tc>
          <w:tcPr>
            <w:tcW w:w="5443" w:type="dxa"/>
            <w:tcBorders>
              <w:top w:val="single" w:sz="24" w:space="0" w:color="951B81"/>
              <w:left w:val="single" w:sz="24" w:space="0" w:color="951B81"/>
              <w:bottom w:val="single" w:sz="24" w:space="0" w:color="951B81"/>
              <w:right w:val="single" w:sz="24" w:space="0" w:color="951B81"/>
            </w:tcBorders>
            <w:shd w:val="pct20" w:color="951B81" w:fill="auto"/>
          </w:tcPr>
          <w:p w14:paraId="58AD7549" w14:textId="77777777" w:rsidR="00A03D13" w:rsidRPr="00401CCB" w:rsidRDefault="00A03D13" w:rsidP="00410FCE">
            <w:pPr>
              <w:ind w:right="-108"/>
              <w:rPr>
                <w:rFonts w:ascii="Arial" w:hAnsi="Arial" w:cs="Arial"/>
                <w:color w:val="951B81"/>
              </w:rPr>
            </w:pPr>
            <w:r w:rsidRPr="00401CCB">
              <w:rPr>
                <w:rFonts w:ascii="Arial" w:hAnsi="Arial" w:cs="Arial"/>
                <w:b/>
                <w:color w:val="951B81"/>
                <w:sz w:val="44"/>
                <w:szCs w:val="44"/>
              </w:rPr>
              <w:t>Plan</w:t>
            </w:r>
            <w:r w:rsidRPr="00401CCB">
              <w:rPr>
                <w:rFonts w:ascii="Arial" w:hAnsi="Arial" w:cs="Arial"/>
                <w:b/>
                <w:color w:val="951B81"/>
                <w:sz w:val="24"/>
                <w:szCs w:val="24"/>
              </w:rPr>
              <w:t xml:space="preserve"> </w:t>
            </w:r>
            <w:r w:rsidRPr="00401CCB">
              <w:rPr>
                <w:rFonts w:ascii="Arial" w:hAnsi="Arial" w:cs="Arial"/>
                <w:color w:val="951B81"/>
                <w:sz w:val="24"/>
                <w:szCs w:val="24"/>
              </w:rPr>
              <w:t>Planifier</w:t>
            </w:r>
          </w:p>
        </w:tc>
        <w:tc>
          <w:tcPr>
            <w:tcW w:w="236" w:type="dxa"/>
            <w:tcBorders>
              <w:top w:val="nil"/>
              <w:left w:val="single" w:sz="24" w:space="0" w:color="951B81"/>
              <w:bottom w:val="nil"/>
              <w:right w:val="single" w:sz="24" w:space="0" w:color="2AAC66"/>
            </w:tcBorders>
          </w:tcPr>
          <w:p w14:paraId="11796031" w14:textId="77777777" w:rsidR="00A03D13" w:rsidRPr="00401CCB" w:rsidRDefault="00A03D13" w:rsidP="00410FCE">
            <w:pPr>
              <w:rPr>
                <w:rFonts w:ascii="Arial" w:hAnsi="Arial" w:cs="Arial"/>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shd w:val="pct20" w:color="2AAC66" w:fill="auto"/>
          </w:tcPr>
          <w:p w14:paraId="786BF623" w14:textId="77777777" w:rsidR="00A03D13" w:rsidRPr="00401CCB" w:rsidRDefault="00A03D13" w:rsidP="00410FCE">
            <w:pPr>
              <w:rPr>
                <w:rFonts w:ascii="Arial" w:hAnsi="Arial" w:cs="Arial"/>
                <w:color w:val="2AAC66"/>
              </w:rPr>
            </w:pPr>
            <w:r w:rsidRPr="00401CCB">
              <w:rPr>
                <w:rFonts w:ascii="Arial" w:hAnsi="Arial" w:cs="Arial"/>
                <w:b/>
                <w:color w:val="2AAC66"/>
                <w:sz w:val="44"/>
                <w:szCs w:val="44"/>
              </w:rPr>
              <w:t>Do</w:t>
            </w:r>
            <w:r w:rsidRPr="00401CCB">
              <w:rPr>
                <w:rFonts w:ascii="Arial" w:hAnsi="Arial" w:cs="Arial"/>
                <w:b/>
                <w:color w:val="2AAC66"/>
              </w:rPr>
              <w:t xml:space="preserve"> </w:t>
            </w:r>
            <w:r w:rsidRPr="00401CCB">
              <w:rPr>
                <w:rFonts w:ascii="Arial" w:hAnsi="Arial" w:cs="Arial"/>
                <w:color w:val="2AAC66"/>
                <w:sz w:val="24"/>
                <w:szCs w:val="24"/>
              </w:rPr>
              <w:t>Mettre en œuvre</w:t>
            </w:r>
          </w:p>
        </w:tc>
        <w:tc>
          <w:tcPr>
            <w:tcW w:w="236" w:type="dxa"/>
            <w:tcBorders>
              <w:top w:val="nil"/>
              <w:left w:val="single" w:sz="24" w:space="0" w:color="2AAC66"/>
              <w:bottom w:val="nil"/>
              <w:right w:val="single" w:sz="24" w:space="0" w:color="EE7444"/>
            </w:tcBorders>
          </w:tcPr>
          <w:p w14:paraId="60CEA1B6" w14:textId="77777777" w:rsidR="00A03D13" w:rsidRPr="00401CCB" w:rsidRDefault="00A03D13" w:rsidP="00410FCE">
            <w:pPr>
              <w:rPr>
                <w:rFonts w:ascii="Arial" w:hAnsi="Arial" w:cs="Arial"/>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shd w:val="pct20" w:color="EE7444" w:fill="auto"/>
          </w:tcPr>
          <w:p w14:paraId="721EACD7" w14:textId="77777777" w:rsidR="00A03D13" w:rsidRPr="00401CCB" w:rsidRDefault="00A03D13" w:rsidP="00410FCE">
            <w:pPr>
              <w:rPr>
                <w:rFonts w:ascii="Arial" w:hAnsi="Arial" w:cs="Arial"/>
                <w:b/>
                <w:color w:val="FFFFFF"/>
                <w:sz w:val="44"/>
                <w:szCs w:val="44"/>
              </w:rPr>
            </w:pPr>
            <w:r w:rsidRPr="00401CCB">
              <w:rPr>
                <w:rFonts w:ascii="Arial" w:hAnsi="Arial" w:cs="Arial"/>
                <w:b/>
                <w:color w:val="EE7444"/>
                <w:sz w:val="44"/>
                <w:szCs w:val="44"/>
              </w:rPr>
              <w:t xml:space="preserve">Check </w:t>
            </w:r>
            <w:r w:rsidRPr="00401CCB">
              <w:rPr>
                <w:rFonts w:ascii="Arial" w:hAnsi="Arial" w:cs="Arial"/>
                <w:color w:val="EE7444"/>
                <w:sz w:val="24"/>
                <w:szCs w:val="24"/>
              </w:rPr>
              <w:t>Évaluer</w:t>
            </w:r>
          </w:p>
        </w:tc>
      </w:tr>
      <w:tr w:rsidR="00A03D13" w:rsidRPr="00401CCB" w14:paraId="4BB7F434" w14:textId="77777777" w:rsidTr="00410FCE">
        <w:trPr>
          <w:trHeight w:hRule="exact" w:val="7803"/>
        </w:trPr>
        <w:tc>
          <w:tcPr>
            <w:tcW w:w="5443" w:type="dxa"/>
            <w:tcBorders>
              <w:top w:val="single" w:sz="24" w:space="0" w:color="951B81"/>
              <w:left w:val="single" w:sz="24" w:space="0" w:color="951B81"/>
              <w:bottom w:val="single" w:sz="24" w:space="0" w:color="951B81"/>
              <w:right w:val="single" w:sz="24" w:space="0" w:color="951B81"/>
            </w:tcBorders>
          </w:tcPr>
          <w:p w14:paraId="3FD95B35" w14:textId="77777777" w:rsidR="00A03D13" w:rsidRPr="00401CCB" w:rsidRDefault="00A03D13" w:rsidP="009A7A62">
            <w:pPr>
              <w:spacing w:before="60" w:after="120"/>
              <w:ind w:left="187" w:hanging="187"/>
              <w:rPr>
                <w:rFonts w:ascii="Arial" w:hAnsi="Arial" w:cs="Arial"/>
                <w:b/>
                <w:color w:val="951B81"/>
              </w:rPr>
            </w:pPr>
            <w:r w:rsidRPr="00401CCB">
              <w:rPr>
                <w:rFonts w:ascii="Arial" w:hAnsi="Arial" w:cs="Arial"/>
                <w:b/>
                <w:color w:val="951B81"/>
              </w:rPr>
              <w:t>Contexte, stratégie, sens, objectifs</w:t>
            </w:r>
          </w:p>
          <w:p w14:paraId="108CDF1E" w14:textId="77777777" w:rsidR="00A03D13" w:rsidRPr="008F12CE" w:rsidRDefault="00A03D13" w:rsidP="009A7A62">
            <w:pPr>
              <w:widowControl w:val="0"/>
              <w:spacing w:after="100"/>
              <w:rPr>
                <w:rFonts w:ascii="Arial" w:eastAsia="MS Mincho" w:hAnsi="Arial" w:cs="Arial"/>
                <w:sz w:val="18"/>
                <w:szCs w:val="18"/>
              </w:rPr>
            </w:pPr>
            <w:r w:rsidRPr="008F12CE">
              <w:rPr>
                <w:rFonts w:ascii="Arial" w:eastAsia="MS Mincho" w:hAnsi="Arial" w:cs="Arial"/>
                <w:sz w:val="18"/>
                <w:szCs w:val="18"/>
              </w:rPr>
              <w:t>Tout EPLE peut développer une offre de formation professionnelle continue, en cohérence avec la stratégie de région académique et en prenant en compte la réalité du bassin d’emploi et du marché concurrentiel de la formation professionnelle continue. Les EPLE doivent s’appuyer sur les GIP FCIP et Greta (ci-après désignés comme « groupements ») pour l’analyse des besoins et l’accompagnement de l’ingénierie de formation en prenant en compte les enjeux actuels des transitions numérique et écologique. Les groupements prennent également en charge le portage et l’ingénierie financière.</w:t>
            </w:r>
          </w:p>
          <w:p w14:paraId="075833BB" w14:textId="77777777" w:rsidR="00A03D13" w:rsidRPr="008F12CE" w:rsidRDefault="00A03D13" w:rsidP="009A7A62">
            <w:pPr>
              <w:widowControl w:val="0"/>
              <w:spacing w:after="100"/>
              <w:rPr>
                <w:rFonts w:ascii="Arial" w:eastAsia="MS Mincho" w:hAnsi="Arial" w:cs="Arial"/>
                <w:sz w:val="18"/>
                <w:szCs w:val="18"/>
              </w:rPr>
            </w:pPr>
            <w:r w:rsidRPr="008F12CE">
              <w:rPr>
                <w:rFonts w:ascii="Arial" w:eastAsia="MS Mincho" w:hAnsi="Arial" w:cs="Arial"/>
                <w:sz w:val="18"/>
                <w:szCs w:val="18"/>
              </w:rPr>
              <w:t xml:space="preserve">Développer des actions de formation continue et informer sur la validation des acquis de l’expérience (VAE), voie de certification basée sur les acquis de l’expérience, permet à l’établissement de devenir un acteur de l’orientation, de la formation et de l’insertion professionnelles pour tous les publics. La mixité de publics qui en résulte apporte une ouverture aux élèves et apprentis sur la formation tout au long de la vie, grâce à la présence en EPLE d’adultes qui bénéficient de formations dans le cadre de la formation professionnelle continue ou d’un parcours de VAE.  Elle permet également aux équipes pédagogiques de développer de nouvelles compétences qui viennent enrichir leurs pratiques. </w:t>
            </w:r>
          </w:p>
          <w:p w14:paraId="5DC53864" w14:textId="77777777" w:rsidR="00A03D13" w:rsidRPr="008F12CE" w:rsidRDefault="00A03D13" w:rsidP="009A7A62">
            <w:pPr>
              <w:widowControl w:val="0"/>
              <w:spacing w:after="100"/>
              <w:rPr>
                <w:rFonts w:ascii="Arial" w:eastAsia="MS Mincho" w:hAnsi="Arial" w:cs="Arial"/>
                <w:sz w:val="18"/>
                <w:szCs w:val="18"/>
              </w:rPr>
            </w:pPr>
            <w:r w:rsidRPr="008F12CE">
              <w:rPr>
                <w:rFonts w:ascii="Arial" w:eastAsia="MS Mincho" w:hAnsi="Arial" w:cs="Arial"/>
                <w:sz w:val="18"/>
                <w:szCs w:val="18"/>
              </w:rPr>
              <w:t>Le chef d’établissement est garant de la mise en œuvre de l’action, dans les conditions prévues par les conventions constitutives des groupements (GIP et GRETA) ainsi que du contrat passé par celui-ci avec les financeurs et les stagiaires.</w:t>
            </w:r>
          </w:p>
          <w:p w14:paraId="72113BA7" w14:textId="77777777" w:rsidR="00A03D13" w:rsidRDefault="00A03D13"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l’établissement conduit-il une réflexion globale sur son offre de formation professionnelle intégrant les formations initiales (scolaires ou par apprentissage) et continue ? Dans quelles instances, avec quels acteurs ?</w:t>
            </w:r>
          </w:p>
          <w:p w14:paraId="1A2A6204" w14:textId="77777777" w:rsidR="00A03D13" w:rsidRPr="008F12CE" w:rsidRDefault="00A03D13" w:rsidP="009A7A62">
            <w:pPr>
              <w:pStyle w:val="Paragraphedeliste"/>
              <w:widowControl w:val="0"/>
              <w:numPr>
                <w:ilvl w:val="0"/>
                <w:numId w:val="3"/>
              </w:numPr>
              <w:spacing w:after="100"/>
              <w:ind w:left="325" w:hanging="267"/>
              <w:rPr>
                <w:rFonts w:ascii="Arial" w:eastAsia="MS Mincho" w:hAnsi="Arial" w:cs="Arial"/>
                <w:sz w:val="18"/>
                <w:szCs w:val="18"/>
              </w:rPr>
            </w:pPr>
            <w:r w:rsidRPr="008F12CE">
              <w:rPr>
                <w:rFonts w:ascii="Arial" w:eastAsia="MS Mincho" w:hAnsi="Arial" w:cs="Arial"/>
                <w:sz w:val="18"/>
                <w:szCs w:val="18"/>
              </w:rPr>
              <w:t>Comment l’offre de formation continue des adultes s’intègre-t-elle dans le projet et les activités de l’établissement ? avec quelles stratégies ? quels objectifs ?</w:t>
            </w:r>
          </w:p>
        </w:tc>
        <w:tc>
          <w:tcPr>
            <w:tcW w:w="236" w:type="dxa"/>
            <w:tcBorders>
              <w:top w:val="nil"/>
              <w:left w:val="single" w:sz="24" w:space="0" w:color="951B81"/>
              <w:bottom w:val="nil"/>
              <w:right w:val="single" w:sz="24" w:space="0" w:color="2AAC66"/>
            </w:tcBorders>
          </w:tcPr>
          <w:p w14:paraId="66FF001A" w14:textId="77777777" w:rsidR="00A03D13" w:rsidRPr="00401CCB" w:rsidRDefault="00A03D13" w:rsidP="00410FCE">
            <w:pPr>
              <w:rPr>
                <w:rFonts w:asciiTheme="minorHAnsi" w:hAnsiTheme="minorHAnsi"/>
                <w:sz w:val="17"/>
                <w:szCs w:val="17"/>
              </w:rPr>
            </w:pPr>
          </w:p>
        </w:tc>
        <w:tc>
          <w:tcPr>
            <w:tcW w:w="7079" w:type="dxa"/>
            <w:gridSpan w:val="2"/>
            <w:tcBorders>
              <w:top w:val="single" w:sz="24" w:space="0" w:color="2AAC66"/>
              <w:left w:val="single" w:sz="24" w:space="0" w:color="2AAC66"/>
              <w:bottom w:val="single" w:sz="24" w:space="0" w:color="2AAC66"/>
              <w:right w:val="single" w:sz="24" w:space="0" w:color="2AAC66"/>
            </w:tcBorders>
          </w:tcPr>
          <w:p w14:paraId="5FB3DEAD" w14:textId="77777777" w:rsidR="00A03D13" w:rsidRPr="00401CCB" w:rsidRDefault="00A03D13" w:rsidP="009A7A62">
            <w:pPr>
              <w:widowControl w:val="0"/>
              <w:tabs>
                <w:tab w:val="left" w:pos="323"/>
              </w:tabs>
              <w:spacing w:before="60" w:after="120"/>
              <w:rPr>
                <w:rFonts w:ascii="Arial" w:hAnsi="Arial" w:cs="Arial"/>
                <w:b/>
                <w:color w:val="2AAC66"/>
              </w:rPr>
            </w:pPr>
            <w:r w:rsidRPr="00401CCB">
              <w:rPr>
                <w:rFonts w:ascii="Arial" w:hAnsi="Arial" w:cs="Arial"/>
                <w:b/>
                <w:color w:val="2AAC66"/>
              </w:rPr>
              <w:t>Acteurs – Actions – Mo</w:t>
            </w:r>
            <w:r w:rsidRPr="006D79C1">
              <w:rPr>
                <w:rFonts w:ascii="Arial" w:hAnsi="Arial" w:cs="Arial"/>
                <w:b/>
                <w:color w:val="2AAC66"/>
              </w:rPr>
              <w:t>yen</w:t>
            </w:r>
            <w:r w:rsidRPr="00401CCB">
              <w:rPr>
                <w:rFonts w:ascii="Arial" w:hAnsi="Arial" w:cs="Arial"/>
                <w:b/>
                <w:color w:val="2AAC66"/>
              </w:rPr>
              <w:t>s – Temps</w:t>
            </w:r>
          </w:p>
          <w:p w14:paraId="12728F02" w14:textId="16D37A39" w:rsidR="00A03D13" w:rsidRPr="00496A06" w:rsidRDefault="00927186" w:rsidP="009A7A62">
            <w:pPr>
              <w:widowControl w:val="0"/>
              <w:tabs>
                <w:tab w:val="left" w:pos="323"/>
              </w:tabs>
              <w:spacing w:after="60"/>
              <w:rPr>
                <w:rFonts w:ascii="Arial" w:hAnsi="Arial" w:cs="Arial"/>
                <w:b/>
                <w:bCs/>
                <w:color w:val="2AAC66"/>
                <w:sz w:val="18"/>
                <w:szCs w:val="18"/>
              </w:rPr>
            </w:pPr>
            <w:r w:rsidRPr="00927186">
              <w:rPr>
                <w:rFonts w:ascii="Arial" w:hAnsi="Arial" w:cs="Arial"/>
                <w:b/>
                <w:bCs/>
                <w:color w:val="2AAC66"/>
                <w:sz w:val="18"/>
                <w:szCs w:val="18"/>
              </w:rPr>
              <w:t>Bilans et évaluation des actio</w:t>
            </w:r>
            <w:r>
              <w:rPr>
                <w:rFonts w:ascii="Arial" w:hAnsi="Arial" w:cs="Arial"/>
                <w:b/>
                <w:bCs/>
                <w:color w:val="2AAC66"/>
                <w:sz w:val="18"/>
                <w:szCs w:val="18"/>
              </w:rPr>
              <w:t>ns</w:t>
            </w:r>
          </w:p>
          <w:p w14:paraId="246DE0B9" w14:textId="340E4ABF" w:rsidR="00927186" w:rsidRPr="00927186" w:rsidRDefault="00927186" w:rsidP="009A7A62">
            <w:pPr>
              <w:pStyle w:val="Paragraphedeliste"/>
              <w:widowControl w:val="0"/>
              <w:numPr>
                <w:ilvl w:val="0"/>
                <w:numId w:val="9"/>
              </w:numPr>
              <w:tabs>
                <w:tab w:val="left" w:pos="323"/>
              </w:tabs>
              <w:ind w:left="307" w:hanging="284"/>
              <w:rPr>
                <w:rFonts w:ascii="Arial" w:hAnsi="Arial" w:cs="Arial"/>
                <w:sz w:val="18"/>
                <w:szCs w:val="18"/>
              </w:rPr>
            </w:pPr>
            <w:r w:rsidRPr="00927186">
              <w:rPr>
                <w:rFonts w:ascii="Arial" w:hAnsi="Arial" w:cs="Arial"/>
                <w:sz w:val="18"/>
                <w:szCs w:val="18"/>
              </w:rPr>
              <w:t>Quelles sont les obligations de bilan et d’évaluation liées à chaque action (engagements envers les financeurs, dans le cadre des procédures qualité du groupement…) ? Quelles sont les procédures liées ?</w:t>
            </w:r>
          </w:p>
          <w:p w14:paraId="2652CCFC" w14:textId="77777777" w:rsidR="00927186" w:rsidRPr="00927186" w:rsidRDefault="00927186" w:rsidP="009A7A62">
            <w:pPr>
              <w:pStyle w:val="Paragraphedeliste"/>
              <w:widowControl w:val="0"/>
              <w:numPr>
                <w:ilvl w:val="0"/>
                <w:numId w:val="9"/>
              </w:numPr>
              <w:tabs>
                <w:tab w:val="left" w:pos="323"/>
              </w:tabs>
              <w:ind w:left="307" w:hanging="284"/>
              <w:rPr>
                <w:rFonts w:ascii="Arial" w:hAnsi="Arial" w:cs="Arial"/>
                <w:sz w:val="18"/>
                <w:szCs w:val="18"/>
              </w:rPr>
            </w:pPr>
            <w:r w:rsidRPr="00927186">
              <w:rPr>
                <w:rFonts w:ascii="Arial" w:hAnsi="Arial" w:cs="Arial"/>
                <w:sz w:val="18"/>
                <w:szCs w:val="18"/>
              </w:rPr>
              <w:t>Quel bilan est effectué en interne ? Sous quelle forme ? Avec qui ? À partir de quels indicateurs ? Selon quelle périodicité ? Quel partage à l’échelle de l’établissement ?</w:t>
            </w:r>
          </w:p>
          <w:p w14:paraId="4665FEEB" w14:textId="77777777" w:rsidR="00A03D13" w:rsidRDefault="00927186" w:rsidP="009A7A62">
            <w:pPr>
              <w:pStyle w:val="Paragraphedeliste"/>
              <w:widowControl w:val="0"/>
              <w:numPr>
                <w:ilvl w:val="0"/>
                <w:numId w:val="9"/>
              </w:numPr>
              <w:tabs>
                <w:tab w:val="left" w:pos="323"/>
              </w:tabs>
              <w:ind w:left="307" w:hanging="284"/>
              <w:rPr>
                <w:rFonts w:ascii="Arial" w:hAnsi="Arial" w:cs="Arial"/>
                <w:sz w:val="18"/>
                <w:szCs w:val="18"/>
              </w:rPr>
            </w:pPr>
            <w:r w:rsidRPr="00927186">
              <w:rPr>
                <w:rFonts w:ascii="Arial" w:hAnsi="Arial" w:cs="Arial"/>
                <w:sz w:val="18"/>
                <w:szCs w:val="18"/>
              </w:rPr>
              <w:t>Comment l’activité de formation continue est-elle valorisée dans le cadre de démarches de labellisation (Lycée des métiers, Euroscol, égalité filles-garçons, E3D…) ?</w:t>
            </w:r>
          </w:p>
          <w:p w14:paraId="3D520D0A" w14:textId="77777777" w:rsidR="00311F9A" w:rsidRDefault="00311F9A" w:rsidP="009A7A62">
            <w:pPr>
              <w:widowControl w:val="0"/>
              <w:tabs>
                <w:tab w:val="left" w:pos="323"/>
              </w:tabs>
              <w:spacing w:before="120" w:after="60"/>
              <w:ind w:left="23"/>
              <w:rPr>
                <w:rFonts w:ascii="Arial" w:hAnsi="Arial" w:cs="Arial"/>
                <w:b/>
                <w:bCs/>
                <w:color w:val="2AAC66"/>
                <w:sz w:val="18"/>
                <w:szCs w:val="18"/>
              </w:rPr>
            </w:pPr>
            <w:r w:rsidRPr="00311F9A">
              <w:rPr>
                <w:rFonts w:ascii="Arial" w:hAnsi="Arial" w:cs="Arial"/>
                <w:b/>
                <w:bCs/>
                <w:color w:val="2AAC66"/>
                <w:sz w:val="18"/>
                <w:szCs w:val="18"/>
              </w:rPr>
              <w:t>Communication</w:t>
            </w:r>
          </w:p>
          <w:p w14:paraId="1DBDA592" w14:textId="77777777" w:rsidR="00311F9A" w:rsidRPr="00311F9A" w:rsidRDefault="00311F9A" w:rsidP="009A7A62">
            <w:pPr>
              <w:spacing w:after="60"/>
              <w:rPr>
                <w:rFonts w:ascii="Arial" w:hAnsi="Arial" w:cs="Arial"/>
                <w:i/>
                <w:color w:val="2AAC66"/>
                <w:sz w:val="18"/>
                <w:szCs w:val="18"/>
              </w:rPr>
            </w:pPr>
            <w:r w:rsidRPr="00311F9A">
              <w:rPr>
                <w:rFonts w:ascii="Arial" w:hAnsi="Arial" w:cs="Arial"/>
                <w:i/>
                <w:color w:val="2AAC66"/>
                <w:sz w:val="18"/>
                <w:szCs w:val="18"/>
              </w:rPr>
              <w:t>Les questions proposées ici portent sur les actions qui peuvent être initiées à l’échelle de l’EPLE dans le cadre de son plan de communication et non sur la communication à mettre en œuvre au niveau du GIP ou du Greta. Il est bien sûr conseillé de questionner en outre l’articulation de ces deux niveaux de communication.</w:t>
            </w:r>
          </w:p>
          <w:p w14:paraId="74BDEA59" w14:textId="77777777" w:rsidR="00311F9A" w:rsidRPr="00311F9A" w:rsidRDefault="00311F9A" w:rsidP="009A7A62">
            <w:pPr>
              <w:pStyle w:val="Paragraphedeliste"/>
              <w:widowControl w:val="0"/>
              <w:numPr>
                <w:ilvl w:val="0"/>
                <w:numId w:val="12"/>
              </w:numPr>
              <w:tabs>
                <w:tab w:val="left" w:pos="323"/>
              </w:tabs>
              <w:ind w:left="307" w:hanging="284"/>
              <w:rPr>
                <w:rFonts w:ascii="Arial" w:hAnsi="Arial" w:cs="Arial"/>
                <w:sz w:val="18"/>
                <w:szCs w:val="18"/>
              </w:rPr>
            </w:pPr>
            <w:r w:rsidRPr="00311F9A">
              <w:rPr>
                <w:rFonts w:ascii="Arial" w:hAnsi="Arial" w:cs="Arial"/>
                <w:sz w:val="18"/>
                <w:szCs w:val="18"/>
              </w:rPr>
              <w:t>Comment l’appartenance au groupement et les actions de formation continue sont-elles valorisées au sein de l’établissement et auprès des différentes parties prenantes de la communauté scolaire, des partenaires institutionnels ?</w:t>
            </w:r>
          </w:p>
          <w:p w14:paraId="34D46041" w14:textId="77777777" w:rsidR="00311F9A" w:rsidRPr="00311F9A" w:rsidRDefault="00311F9A" w:rsidP="009A7A62">
            <w:pPr>
              <w:pStyle w:val="Paragraphedeliste"/>
              <w:widowControl w:val="0"/>
              <w:numPr>
                <w:ilvl w:val="0"/>
                <w:numId w:val="12"/>
              </w:numPr>
              <w:tabs>
                <w:tab w:val="left" w:pos="323"/>
              </w:tabs>
              <w:ind w:left="307" w:hanging="284"/>
              <w:rPr>
                <w:rFonts w:ascii="Arial" w:hAnsi="Arial" w:cs="Arial"/>
                <w:sz w:val="18"/>
                <w:szCs w:val="18"/>
              </w:rPr>
            </w:pPr>
            <w:r w:rsidRPr="00311F9A">
              <w:rPr>
                <w:rFonts w:ascii="Arial" w:hAnsi="Arial" w:cs="Arial"/>
                <w:sz w:val="18"/>
                <w:szCs w:val="18"/>
              </w:rPr>
              <w:t>Comment les actions de formation continue sont-elles valorisées dans la communication externe de l’établissement ? Quelle est notamment la visibilité de la formation continue sur le site internet de l’EPLE ?</w:t>
            </w:r>
          </w:p>
          <w:p w14:paraId="527D6445" w14:textId="77777777" w:rsidR="00311F9A" w:rsidRPr="00311F9A" w:rsidRDefault="00311F9A" w:rsidP="009A7A62">
            <w:pPr>
              <w:pStyle w:val="Paragraphedeliste"/>
              <w:widowControl w:val="0"/>
              <w:numPr>
                <w:ilvl w:val="0"/>
                <w:numId w:val="12"/>
              </w:numPr>
              <w:tabs>
                <w:tab w:val="left" w:pos="323"/>
              </w:tabs>
              <w:ind w:left="307" w:hanging="284"/>
              <w:rPr>
                <w:rFonts w:ascii="Arial" w:hAnsi="Arial" w:cs="Arial"/>
                <w:sz w:val="18"/>
                <w:szCs w:val="18"/>
              </w:rPr>
            </w:pPr>
            <w:r w:rsidRPr="00311F9A">
              <w:rPr>
                <w:rFonts w:ascii="Arial" w:hAnsi="Arial" w:cs="Arial"/>
                <w:sz w:val="18"/>
                <w:szCs w:val="18"/>
              </w:rPr>
              <w:t>Comment ces actions de valorisation sont-elles intégrées au plan de communication de l’établissement ?</w:t>
            </w:r>
          </w:p>
          <w:p w14:paraId="2F7C8FEC" w14:textId="77777777" w:rsidR="00311F9A" w:rsidRDefault="00311F9A" w:rsidP="009A7A62">
            <w:pPr>
              <w:pStyle w:val="Paragraphedeliste"/>
              <w:widowControl w:val="0"/>
              <w:numPr>
                <w:ilvl w:val="0"/>
                <w:numId w:val="12"/>
              </w:numPr>
              <w:tabs>
                <w:tab w:val="left" w:pos="323"/>
              </w:tabs>
              <w:spacing w:after="60"/>
              <w:ind w:left="307" w:hanging="284"/>
              <w:rPr>
                <w:rFonts w:ascii="Arial" w:hAnsi="Arial" w:cs="Arial"/>
                <w:sz w:val="18"/>
                <w:szCs w:val="18"/>
              </w:rPr>
            </w:pPr>
            <w:r w:rsidRPr="00311F9A">
              <w:rPr>
                <w:rFonts w:ascii="Arial" w:hAnsi="Arial" w:cs="Arial"/>
                <w:sz w:val="18"/>
                <w:szCs w:val="18"/>
              </w:rPr>
              <w:t xml:space="preserve">Comment l’établissement s’assure-t-il que sa communication respecte les exigences qualité du groupement dont il est membre, liées aux obligations du référentiel national qualité* ? </w:t>
            </w:r>
          </w:p>
          <w:p w14:paraId="7669666F" w14:textId="77777777" w:rsidR="00106C6A" w:rsidRPr="00311F9A" w:rsidRDefault="00106C6A" w:rsidP="009A7A62">
            <w:pPr>
              <w:pStyle w:val="Paragraphedeliste"/>
              <w:widowControl w:val="0"/>
              <w:tabs>
                <w:tab w:val="left" w:pos="323"/>
              </w:tabs>
              <w:spacing w:after="60"/>
              <w:ind w:left="307"/>
              <w:rPr>
                <w:rFonts w:ascii="Arial" w:hAnsi="Arial" w:cs="Arial"/>
                <w:sz w:val="18"/>
                <w:szCs w:val="18"/>
              </w:rPr>
            </w:pPr>
          </w:p>
          <w:p w14:paraId="44C1C631" w14:textId="337CE861" w:rsidR="00106C6A" w:rsidRPr="00990C63" w:rsidRDefault="00990C63" w:rsidP="009A7A62">
            <w:pPr>
              <w:widowControl w:val="0"/>
              <w:tabs>
                <w:tab w:val="left" w:pos="323"/>
              </w:tabs>
              <w:spacing w:before="60"/>
              <w:rPr>
                <w:rFonts w:ascii="Arial" w:hAnsi="Arial" w:cs="Arial"/>
                <w:color w:val="00B050"/>
                <w:sz w:val="18"/>
                <w:szCs w:val="18"/>
              </w:rPr>
            </w:pPr>
            <w:r w:rsidRPr="00990C63">
              <w:rPr>
                <w:rFonts w:ascii="Arial" w:hAnsi="Arial" w:cs="Arial"/>
                <w:i/>
                <w:color w:val="00B050"/>
                <w:sz w:val="18"/>
                <w:szCs w:val="18"/>
              </w:rPr>
              <w:t>*</w:t>
            </w:r>
            <w:r>
              <w:rPr>
                <w:rFonts w:ascii="Arial" w:hAnsi="Arial" w:cs="Arial"/>
                <w:i/>
                <w:color w:val="00B050"/>
                <w:sz w:val="18"/>
                <w:szCs w:val="18"/>
              </w:rPr>
              <w:t xml:space="preserve"> </w:t>
            </w:r>
            <w:r w:rsidR="00106C6A" w:rsidRPr="00990C63">
              <w:rPr>
                <w:rFonts w:ascii="Arial" w:hAnsi="Arial" w:cs="Arial"/>
                <w:i/>
                <w:color w:val="00B050"/>
                <w:sz w:val="18"/>
                <w:szCs w:val="18"/>
              </w:rPr>
              <w:t>Pour un questionnement détaillé sur les exigences du Référentiel national qualité (Qualiopi) et notamment celles relatives à l’ingénierie de formation, à l’accueil des stagiaires et à la communication, voir le guide Qualéduc « Fiches repères d’auto-évaluation pour l’accompagnement de la labellisation Éduform ».</w:t>
            </w:r>
          </w:p>
          <w:p w14:paraId="7EE8DDA0" w14:textId="41FD52DB" w:rsidR="00311F9A" w:rsidRPr="00311F9A" w:rsidRDefault="00311F9A" w:rsidP="009A7A62">
            <w:pPr>
              <w:widowControl w:val="0"/>
              <w:tabs>
                <w:tab w:val="left" w:pos="323"/>
              </w:tabs>
              <w:ind w:left="23"/>
              <w:rPr>
                <w:rFonts w:ascii="Arial" w:hAnsi="Arial" w:cs="Arial"/>
                <w:sz w:val="18"/>
                <w:szCs w:val="18"/>
              </w:rPr>
            </w:pPr>
          </w:p>
        </w:tc>
        <w:tc>
          <w:tcPr>
            <w:tcW w:w="236" w:type="dxa"/>
            <w:tcBorders>
              <w:top w:val="nil"/>
              <w:left w:val="single" w:sz="24" w:space="0" w:color="2AAC66"/>
              <w:bottom w:val="nil"/>
              <w:right w:val="single" w:sz="24" w:space="0" w:color="EE7444"/>
            </w:tcBorders>
          </w:tcPr>
          <w:p w14:paraId="468B36D0" w14:textId="77777777" w:rsidR="00A03D13" w:rsidRPr="00401CCB" w:rsidRDefault="00A03D13" w:rsidP="00410FCE">
            <w:pPr>
              <w:rPr>
                <w:rFonts w:asciiTheme="minorHAnsi" w:hAnsiTheme="minorHAnsi"/>
                <w:sz w:val="17"/>
                <w:szCs w:val="17"/>
              </w:rPr>
            </w:pPr>
          </w:p>
        </w:tc>
        <w:tc>
          <w:tcPr>
            <w:tcW w:w="3024" w:type="dxa"/>
            <w:gridSpan w:val="2"/>
            <w:tcBorders>
              <w:top w:val="single" w:sz="24" w:space="0" w:color="EE7444"/>
              <w:left w:val="single" w:sz="24" w:space="0" w:color="EE7444"/>
              <w:bottom w:val="single" w:sz="24" w:space="0" w:color="EE7444"/>
              <w:right w:val="single" w:sz="24" w:space="0" w:color="EE7444"/>
            </w:tcBorders>
          </w:tcPr>
          <w:p w14:paraId="65C2B4C8" w14:textId="77777777" w:rsidR="00A03D13" w:rsidRPr="00401CCB" w:rsidRDefault="00A03D13" w:rsidP="00410FCE">
            <w:pPr>
              <w:spacing w:before="60"/>
              <w:ind w:left="79"/>
              <w:rPr>
                <w:rFonts w:ascii="Arial" w:hAnsi="Arial" w:cs="Arial"/>
                <w:b/>
                <w:color w:val="EE7444"/>
              </w:rPr>
            </w:pPr>
            <w:r w:rsidRPr="00401CCB">
              <w:rPr>
                <w:rFonts w:ascii="Arial" w:hAnsi="Arial" w:cs="Arial"/>
                <w:b/>
                <w:color w:val="EE7444"/>
              </w:rPr>
              <w:t xml:space="preserve">Exemples d’indicateurs </w:t>
            </w:r>
          </w:p>
          <w:p w14:paraId="799E5A15" w14:textId="77777777" w:rsidR="00A03D13" w:rsidRPr="00401CCB" w:rsidRDefault="00A03D13" w:rsidP="00410FCE">
            <w:pPr>
              <w:spacing w:after="60"/>
              <w:ind w:left="79"/>
              <w:rPr>
                <w:rFonts w:ascii="Arial" w:hAnsi="Arial" w:cs="Arial"/>
                <w:color w:val="EE7444"/>
              </w:rPr>
            </w:pPr>
            <w:proofErr w:type="gramStart"/>
            <w:r w:rsidRPr="00401CCB">
              <w:rPr>
                <w:rFonts w:ascii="Arial" w:hAnsi="Arial" w:cs="Arial"/>
                <w:b/>
                <w:color w:val="EE7444"/>
              </w:rPr>
              <w:t>de</w:t>
            </w:r>
            <w:proofErr w:type="gramEnd"/>
            <w:r w:rsidRPr="00401CCB">
              <w:rPr>
                <w:rFonts w:ascii="Arial" w:hAnsi="Arial" w:cs="Arial"/>
                <w:b/>
                <w:color w:val="EE7444"/>
              </w:rPr>
              <w:t xml:space="preserve"> suivi</w:t>
            </w:r>
            <w:r w:rsidRPr="00401CCB">
              <w:rPr>
                <w:rFonts w:ascii="Arial" w:hAnsi="Arial" w:cs="Arial"/>
                <w:color w:val="EE7444"/>
              </w:rPr>
              <w:t xml:space="preserve"> </w:t>
            </w:r>
          </w:p>
          <w:p w14:paraId="22BCD126" w14:textId="77777777" w:rsidR="00A03D13" w:rsidRDefault="009926C1" w:rsidP="00887215">
            <w:pPr>
              <w:widowControl w:val="0"/>
              <w:tabs>
                <w:tab w:val="left" w:pos="323"/>
              </w:tabs>
              <w:spacing w:after="60"/>
              <w:ind w:left="78" w:right="170"/>
              <w:rPr>
                <w:rFonts w:ascii="Arial" w:eastAsia="MS Mincho" w:hAnsi="Arial" w:cs="Arial"/>
                <w:sz w:val="18"/>
                <w:szCs w:val="18"/>
              </w:rPr>
            </w:pPr>
            <w:r w:rsidRPr="009926C1">
              <w:rPr>
                <w:rFonts w:ascii="Arial" w:eastAsia="MS Mincho" w:hAnsi="Arial" w:cs="Arial"/>
                <w:sz w:val="18"/>
                <w:szCs w:val="18"/>
              </w:rPr>
              <w:t>Typologie, nature et nombre des actions de formation continue dispensées au sein de l’établissement.</w:t>
            </w:r>
          </w:p>
          <w:p w14:paraId="0BF3C39B"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Importance donnée à la formation continue, à la mixité de public dans le projet d’établissement, dans le processus d’auto-évaluation et d’évaluation de l’établissement, dans les dossiers et bilans relatifs aux labels.</w:t>
            </w:r>
          </w:p>
          <w:p w14:paraId="21A3C337"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 xml:space="preserve">Taux de réussite </w:t>
            </w:r>
          </w:p>
          <w:p w14:paraId="2284C769"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Taux de rupture</w:t>
            </w:r>
          </w:p>
          <w:p w14:paraId="5AE2C3FC"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Taux d’insertion ou de retour à l’emploi</w:t>
            </w:r>
          </w:p>
          <w:p w14:paraId="48858745"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Visibilité de l’activité de formation continue sur le site internet de l’établissement, régularité des mises à jour</w:t>
            </w:r>
          </w:p>
          <w:p w14:paraId="45A32B0C"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Promotion spécifique lors de la participation à des manifestations de valorisation de l’offre de formation (forums des entreprises, semaines thématiques, salons…)</w:t>
            </w:r>
          </w:p>
          <w:p w14:paraId="1FB7420E" w14:textId="77777777" w:rsidR="00163453" w:rsidRPr="00163453" w:rsidRDefault="00163453" w:rsidP="00163453">
            <w:pPr>
              <w:widowControl w:val="0"/>
              <w:tabs>
                <w:tab w:val="left" w:pos="323"/>
              </w:tabs>
              <w:spacing w:after="60"/>
              <w:ind w:left="78" w:right="170"/>
              <w:rPr>
                <w:rFonts w:ascii="Arial" w:eastAsia="MS Mincho" w:hAnsi="Arial" w:cs="Arial"/>
                <w:sz w:val="18"/>
                <w:szCs w:val="18"/>
              </w:rPr>
            </w:pPr>
            <w:r w:rsidRPr="00163453">
              <w:rPr>
                <w:rFonts w:ascii="Arial" w:eastAsia="MS Mincho" w:hAnsi="Arial" w:cs="Arial"/>
                <w:sz w:val="18"/>
                <w:szCs w:val="18"/>
              </w:rPr>
              <w:t>Nombre de sollicitations auprès du groupement par des clients potentiels, relatives à des formations portées par l’établissement et identifiées comme telles.</w:t>
            </w:r>
          </w:p>
          <w:p w14:paraId="02A9EB63" w14:textId="141FB4F8" w:rsidR="00163453" w:rsidRPr="00401CCB" w:rsidRDefault="00163453" w:rsidP="00887215">
            <w:pPr>
              <w:widowControl w:val="0"/>
              <w:tabs>
                <w:tab w:val="left" w:pos="323"/>
              </w:tabs>
              <w:spacing w:after="60"/>
              <w:ind w:left="78" w:right="170"/>
              <w:rPr>
                <w:rFonts w:ascii="Arial" w:eastAsia="MS Mincho" w:hAnsi="Arial" w:cs="Arial"/>
                <w:sz w:val="18"/>
                <w:szCs w:val="18"/>
              </w:rPr>
            </w:pPr>
          </w:p>
        </w:tc>
      </w:tr>
    </w:tbl>
    <w:p w14:paraId="7449CF19" w14:textId="77777777" w:rsidR="00A03D13" w:rsidRDefault="00A03D13" w:rsidP="00983E10">
      <w:pPr>
        <w:sectPr w:rsidR="00A03D13" w:rsidSect="00744498">
          <w:pgSz w:w="16838" w:h="11906" w:orient="landscape"/>
          <w:pgMar w:top="284" w:right="1387" w:bottom="1" w:left="1134" w:header="567" w:footer="397" w:gutter="0"/>
          <w:cols w:space="708"/>
          <w:docGrid w:linePitch="360"/>
        </w:sectPr>
      </w:pPr>
    </w:p>
    <w:p w14:paraId="70E39551" w14:textId="59466E37" w:rsidR="00983E10" w:rsidRDefault="00983E10" w:rsidP="00983E10">
      <w:pPr>
        <w:tabs>
          <w:tab w:val="left" w:pos="2128"/>
        </w:tabs>
      </w:pPr>
    </w:p>
    <w:p w14:paraId="2CE76EA9" w14:textId="77777777" w:rsidR="00FC266A" w:rsidRPr="00401CCB" w:rsidRDefault="00FC266A"/>
    <w:tbl>
      <w:tblPr>
        <w:tblStyle w:val="Grilledutableau3"/>
        <w:tblW w:w="15593" w:type="dxa"/>
        <w:tblInd w:w="-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6"/>
        <w:gridCol w:w="7797"/>
      </w:tblGrid>
      <w:tr w:rsidR="00FC266A" w:rsidRPr="00401CCB" w14:paraId="7B439351" w14:textId="77777777" w:rsidTr="00FF44CD">
        <w:tc>
          <w:tcPr>
            <w:tcW w:w="15593" w:type="dxa"/>
            <w:gridSpan w:val="2"/>
            <w:tcBorders>
              <w:top w:val="single" w:sz="24" w:space="0" w:color="00B5C6"/>
              <w:left w:val="single" w:sz="24" w:space="0" w:color="00B5C6"/>
              <w:bottom w:val="single" w:sz="24" w:space="0" w:color="00B5C6"/>
              <w:right w:val="single" w:sz="24" w:space="0" w:color="00B5C6"/>
            </w:tcBorders>
            <w:shd w:val="pct20" w:color="00B5C6" w:fill="auto"/>
          </w:tcPr>
          <w:p w14:paraId="458D154C" w14:textId="77777777" w:rsidR="00FC266A" w:rsidRPr="00401CCB" w:rsidRDefault="00FC266A" w:rsidP="00865865">
            <w:pPr>
              <w:ind w:left="176"/>
              <w:rPr>
                <w:rFonts w:asciiTheme="majorHAnsi" w:hAnsiTheme="majorHAnsi"/>
                <w:b/>
                <w:sz w:val="8"/>
                <w:szCs w:val="8"/>
              </w:rPr>
            </w:pPr>
          </w:p>
          <w:p w14:paraId="5076DE86" w14:textId="77777777" w:rsidR="00FC266A" w:rsidRPr="00401CCB" w:rsidRDefault="00FC266A" w:rsidP="00865865">
            <w:pPr>
              <w:rPr>
                <w:rFonts w:ascii="Arial" w:hAnsi="Arial" w:cs="Arial"/>
                <w:b/>
                <w:color w:val="00B5C6"/>
                <w:sz w:val="28"/>
                <w:szCs w:val="28"/>
              </w:rPr>
            </w:pPr>
            <w:proofErr w:type="spellStart"/>
            <w:r w:rsidRPr="00401CCB">
              <w:rPr>
                <w:rFonts w:ascii="Arial" w:hAnsi="Arial" w:cs="Arial"/>
                <w:b/>
                <w:color w:val="00B5C6"/>
                <w:sz w:val="44"/>
                <w:szCs w:val="44"/>
              </w:rPr>
              <w:t>Act</w:t>
            </w:r>
            <w:proofErr w:type="spellEnd"/>
            <w:r w:rsidRPr="00401CCB">
              <w:rPr>
                <w:rFonts w:ascii="Arial" w:hAnsi="Arial" w:cs="Arial"/>
                <w:b/>
                <w:color w:val="00B5C6"/>
              </w:rPr>
              <w:t xml:space="preserve"> </w:t>
            </w:r>
            <w:r w:rsidRPr="00401CCB">
              <w:rPr>
                <w:rFonts w:ascii="Arial" w:hAnsi="Arial" w:cs="Arial"/>
                <w:color w:val="00B5C6"/>
              </w:rPr>
              <w:t>Agir</w:t>
            </w:r>
          </w:p>
        </w:tc>
      </w:tr>
      <w:tr w:rsidR="00FC266A" w:rsidRPr="00401CCB" w14:paraId="065EBC34" w14:textId="77777777" w:rsidTr="00FF44CD">
        <w:trPr>
          <w:trHeight w:val="459"/>
        </w:trPr>
        <w:tc>
          <w:tcPr>
            <w:tcW w:w="15593" w:type="dxa"/>
            <w:gridSpan w:val="2"/>
            <w:tcBorders>
              <w:top w:val="single" w:sz="24" w:space="0" w:color="00B5C6"/>
              <w:left w:val="single" w:sz="24" w:space="0" w:color="00B5C6"/>
              <w:right w:val="single" w:sz="24" w:space="0" w:color="00B5C6"/>
            </w:tcBorders>
          </w:tcPr>
          <w:p w14:paraId="6A77860E" w14:textId="77777777" w:rsidR="00FC266A" w:rsidRPr="00401CCB" w:rsidRDefault="00FC266A" w:rsidP="00865865">
            <w:pPr>
              <w:widowControl w:val="0"/>
              <w:ind w:left="34"/>
              <w:rPr>
                <w:rFonts w:ascii="Arial" w:eastAsia="Times New Roman" w:hAnsi="Arial" w:cs="Arial"/>
                <w:b/>
                <w:color w:val="00B5C6"/>
                <w:w w:val="105"/>
                <w:sz w:val="32"/>
                <w:szCs w:val="32"/>
              </w:rPr>
            </w:pPr>
            <w:r w:rsidRPr="00401CCB">
              <w:rPr>
                <w:rFonts w:ascii="Arial" w:eastAsia="Times New Roman" w:hAnsi="Arial" w:cs="Arial"/>
                <w:b/>
                <w:color w:val="00B5C6"/>
                <w:w w:val="105"/>
                <w:sz w:val="32"/>
                <w:szCs w:val="32"/>
              </w:rPr>
              <w:t>Diagnostic partagé</w:t>
            </w:r>
          </w:p>
        </w:tc>
      </w:tr>
      <w:tr w:rsidR="00FC266A" w:rsidRPr="00401CCB" w14:paraId="526A1D9A" w14:textId="77777777" w:rsidTr="00FF44CD">
        <w:trPr>
          <w:trHeight w:val="1017"/>
        </w:trPr>
        <w:tc>
          <w:tcPr>
            <w:tcW w:w="7796" w:type="dxa"/>
            <w:tcBorders>
              <w:left w:val="single" w:sz="24" w:space="0" w:color="00B5C6"/>
            </w:tcBorders>
          </w:tcPr>
          <w:p w14:paraId="7B66C6B1" w14:textId="77777777" w:rsidR="00FC266A" w:rsidRPr="00401CCB" w:rsidRDefault="00FC266A" w:rsidP="00865865">
            <w:pPr>
              <w:widowControl w:val="0"/>
              <w:ind w:left="318"/>
              <w:rPr>
                <w:rFonts w:ascii="Arial" w:hAnsi="Arial" w:cs="Arial"/>
                <w:b/>
                <w:color w:val="EE7444"/>
                <w:sz w:val="24"/>
                <w:szCs w:val="24"/>
              </w:rPr>
            </w:pPr>
            <w:r w:rsidRPr="00401CCB">
              <w:rPr>
                <w:rFonts w:ascii="Arial" w:hAnsi="Arial" w:cs="Arial"/>
                <w:b/>
                <w:color w:val="EE7444"/>
                <w:sz w:val="24"/>
                <w:szCs w:val="24"/>
              </w:rPr>
              <w:t>Points forts</w:t>
            </w:r>
          </w:p>
          <w:p w14:paraId="30E17029"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398921C"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1F2A2560"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tc>
        <w:tc>
          <w:tcPr>
            <w:tcW w:w="7797" w:type="dxa"/>
            <w:tcBorders>
              <w:right w:val="single" w:sz="24" w:space="0" w:color="00B5C6"/>
            </w:tcBorders>
          </w:tcPr>
          <w:p w14:paraId="2EE88840" w14:textId="60DDC6E9" w:rsidR="00FC266A" w:rsidRPr="00401CCB" w:rsidRDefault="00FF44CD" w:rsidP="00865865">
            <w:pPr>
              <w:widowControl w:val="0"/>
              <w:ind w:left="318"/>
              <w:rPr>
                <w:rFonts w:ascii="Arial" w:hAnsi="Arial" w:cs="Arial"/>
                <w:b/>
                <w:color w:val="EE7444"/>
                <w:sz w:val="24"/>
                <w:szCs w:val="24"/>
              </w:rPr>
            </w:pPr>
            <w:r w:rsidRPr="00401CCB">
              <w:rPr>
                <w:rFonts w:ascii="Arial" w:hAnsi="Arial" w:cs="Arial"/>
                <w:b/>
                <w:color w:val="EE7444"/>
                <w:sz w:val="24"/>
                <w:szCs w:val="24"/>
              </w:rPr>
              <w:t>Axes d’amélioration</w:t>
            </w:r>
          </w:p>
          <w:p w14:paraId="29BFD7D1"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3FC73B3A"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5937F2CA" w14:textId="77777777" w:rsidR="00FC266A" w:rsidRPr="00401CCB" w:rsidRDefault="00FC266A" w:rsidP="007B5ED0">
            <w:pPr>
              <w:numPr>
                <w:ilvl w:val="0"/>
                <w:numId w:val="2"/>
              </w:numPr>
              <w:ind w:left="743" w:right="62" w:hanging="218"/>
              <w:contextualSpacing/>
              <w:rPr>
                <w:rFonts w:ascii="Arial" w:hAnsi="Arial" w:cs="Arial"/>
                <w:w w:val="105"/>
              </w:rPr>
            </w:pPr>
          </w:p>
        </w:tc>
      </w:tr>
      <w:tr w:rsidR="00FC266A" w:rsidRPr="00401CCB" w14:paraId="32B17154" w14:textId="77777777" w:rsidTr="00FF44CD">
        <w:trPr>
          <w:trHeight w:val="977"/>
        </w:trPr>
        <w:tc>
          <w:tcPr>
            <w:tcW w:w="15593" w:type="dxa"/>
            <w:gridSpan w:val="2"/>
            <w:tcBorders>
              <w:left w:val="single" w:sz="24" w:space="0" w:color="00B5C6"/>
              <w:right w:val="single" w:sz="24" w:space="0" w:color="00B5C6"/>
            </w:tcBorders>
          </w:tcPr>
          <w:p w14:paraId="1659DE5D" w14:textId="77777777" w:rsidR="00AA0CB0" w:rsidRPr="00401CCB" w:rsidRDefault="00AA0CB0" w:rsidP="00865865">
            <w:pPr>
              <w:widowControl w:val="0"/>
              <w:ind w:left="318"/>
              <w:rPr>
                <w:rFonts w:ascii="Arial" w:hAnsi="Arial" w:cs="Arial"/>
                <w:b/>
                <w:color w:val="951B81"/>
                <w:sz w:val="24"/>
                <w:szCs w:val="24"/>
              </w:rPr>
            </w:pPr>
          </w:p>
          <w:p w14:paraId="4BFE7E34" w14:textId="6284A925" w:rsidR="00FC266A" w:rsidRPr="00401CCB" w:rsidRDefault="00FC266A" w:rsidP="00865865">
            <w:pPr>
              <w:widowControl w:val="0"/>
              <w:ind w:left="318"/>
              <w:rPr>
                <w:rFonts w:ascii="Arial" w:hAnsi="Arial" w:cs="Arial"/>
                <w:b/>
                <w:color w:val="951B81"/>
                <w:sz w:val="24"/>
                <w:szCs w:val="24"/>
              </w:rPr>
            </w:pPr>
            <w:r w:rsidRPr="00401CCB">
              <w:rPr>
                <w:rFonts w:ascii="Arial" w:hAnsi="Arial" w:cs="Arial"/>
                <w:b/>
                <w:color w:val="951B81"/>
                <w:sz w:val="24"/>
                <w:szCs w:val="24"/>
              </w:rPr>
              <w:t>Objectifs</w:t>
            </w:r>
          </w:p>
          <w:p w14:paraId="7D3C61E2"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w:t>
            </w:r>
          </w:p>
          <w:p w14:paraId="108428DE" w14:textId="77777777" w:rsidR="00FC266A" w:rsidRPr="00401CCB" w:rsidRDefault="00FC266A" w:rsidP="00FC266A">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686896B2" w14:textId="77777777" w:rsidR="00FC266A" w:rsidRPr="00401CCB" w:rsidRDefault="00FC266A" w:rsidP="007B5ED0">
            <w:pPr>
              <w:numPr>
                <w:ilvl w:val="0"/>
                <w:numId w:val="2"/>
              </w:numPr>
              <w:ind w:left="743" w:right="62" w:hanging="218"/>
              <w:contextualSpacing/>
              <w:rPr>
                <w:rFonts w:ascii="Arial" w:hAnsi="Arial" w:cs="Arial"/>
                <w:w w:val="105"/>
              </w:rPr>
            </w:pPr>
            <w:r w:rsidRPr="00401CCB">
              <w:rPr>
                <w:rFonts w:ascii="Arial" w:hAnsi="Arial" w:cs="Arial"/>
                <w:w w:val="105"/>
              </w:rPr>
              <w:t xml:space="preserve"> </w:t>
            </w:r>
          </w:p>
          <w:p w14:paraId="76C79AA5" w14:textId="77777777" w:rsidR="00AA0CB0" w:rsidRPr="00401CCB" w:rsidRDefault="00AA0CB0" w:rsidP="00AA0CB0">
            <w:pPr>
              <w:ind w:left="525" w:right="62"/>
              <w:contextualSpacing/>
              <w:rPr>
                <w:rFonts w:ascii="Arial" w:hAnsi="Arial" w:cs="Arial"/>
                <w:w w:val="105"/>
              </w:rPr>
            </w:pPr>
          </w:p>
          <w:p w14:paraId="3920999A" w14:textId="77777777" w:rsidR="00AA0CB0" w:rsidRPr="00401CCB" w:rsidRDefault="00AA0CB0" w:rsidP="00AA0CB0">
            <w:pPr>
              <w:ind w:left="525" w:right="62"/>
              <w:contextualSpacing/>
              <w:rPr>
                <w:rFonts w:ascii="Arial" w:hAnsi="Arial" w:cs="Arial"/>
                <w:w w:val="105"/>
              </w:rPr>
            </w:pPr>
          </w:p>
        </w:tc>
      </w:tr>
      <w:tr w:rsidR="00FC266A" w:rsidRPr="001E0144" w14:paraId="2EBFEE35" w14:textId="77777777" w:rsidTr="00AA0CB0">
        <w:trPr>
          <w:trHeight w:val="3486"/>
        </w:trPr>
        <w:tc>
          <w:tcPr>
            <w:tcW w:w="15593" w:type="dxa"/>
            <w:gridSpan w:val="2"/>
            <w:tcBorders>
              <w:left w:val="single" w:sz="24" w:space="0" w:color="00B5C6"/>
              <w:bottom w:val="single" w:sz="24" w:space="0" w:color="00B5C6"/>
              <w:right w:val="single" w:sz="24" w:space="0" w:color="00B5C6"/>
            </w:tcBorders>
          </w:tcPr>
          <w:p w14:paraId="5C5568D3" w14:textId="77777777" w:rsidR="00FC266A" w:rsidRPr="00401CCB" w:rsidRDefault="00FC266A" w:rsidP="00865865">
            <w:pPr>
              <w:widowControl w:val="0"/>
              <w:ind w:left="318"/>
              <w:rPr>
                <w:rFonts w:ascii="Arial" w:hAnsi="Arial" w:cs="Arial"/>
                <w:b/>
                <w:color w:val="2AAC66"/>
                <w:sz w:val="24"/>
                <w:szCs w:val="24"/>
              </w:rPr>
            </w:pPr>
            <w:r w:rsidRPr="00401CCB">
              <w:rPr>
                <w:rFonts w:ascii="Arial" w:hAnsi="Arial" w:cs="Arial"/>
                <w:b/>
                <w:color w:val="2AAC66"/>
                <w:sz w:val="24"/>
                <w:szCs w:val="24"/>
              </w:rPr>
              <w:t>Actions</w:t>
            </w:r>
          </w:p>
          <w:p w14:paraId="53A3412A" w14:textId="77777777" w:rsidR="00FC266A" w:rsidRPr="00401CCB" w:rsidRDefault="00FC266A" w:rsidP="00865865">
            <w:pPr>
              <w:widowControl w:val="0"/>
              <w:ind w:left="318"/>
              <w:rPr>
                <w:rFonts w:ascii="Arial" w:eastAsia="Times New Roman" w:hAnsi="Arial" w:cs="Arial"/>
                <w:b/>
                <w:w w:val="105"/>
                <w:sz w:val="18"/>
                <w:szCs w:val="18"/>
              </w:rPr>
            </w:pPr>
          </w:p>
          <w:tbl>
            <w:tblPr>
              <w:tblStyle w:val="Grilledutableau3"/>
              <w:tblW w:w="14493" w:type="dxa"/>
              <w:tblInd w:w="279" w:type="dxa"/>
              <w:tblLayout w:type="fixed"/>
              <w:tblLook w:val="04A0" w:firstRow="1" w:lastRow="0" w:firstColumn="1" w:lastColumn="0" w:noHBand="0" w:noVBand="1"/>
            </w:tblPr>
            <w:tblGrid>
              <w:gridCol w:w="3011"/>
              <w:gridCol w:w="9214"/>
              <w:gridCol w:w="2268"/>
            </w:tblGrid>
            <w:tr w:rsidR="00FC266A" w:rsidRPr="00401CCB" w14:paraId="0E1A6BAF" w14:textId="77777777" w:rsidTr="00865865">
              <w:trPr>
                <w:trHeight w:val="157"/>
              </w:trPr>
              <w:tc>
                <w:tcPr>
                  <w:tcW w:w="3011" w:type="dxa"/>
                </w:tcPr>
                <w:p w14:paraId="3907D248" w14:textId="77777777" w:rsidR="00FC266A" w:rsidRPr="00401CCB" w:rsidRDefault="00FC266A" w:rsidP="00865865">
                  <w:pPr>
                    <w:rPr>
                      <w:rFonts w:ascii="Arial" w:eastAsia="Times New Roman" w:hAnsi="Arial" w:cs="Arial"/>
                      <w:b/>
                      <w:w w:val="105"/>
                    </w:rPr>
                  </w:pPr>
                </w:p>
              </w:tc>
              <w:tc>
                <w:tcPr>
                  <w:tcW w:w="9214" w:type="dxa"/>
                </w:tcPr>
                <w:p w14:paraId="7C1AEED1"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Éléments d’action</w:t>
                  </w:r>
                </w:p>
                <w:p w14:paraId="3048BFE3" w14:textId="77777777" w:rsidR="00FC266A" w:rsidRPr="00401CCB" w:rsidRDefault="00FC266A" w:rsidP="00865865">
                  <w:pPr>
                    <w:rPr>
                      <w:rFonts w:ascii="Arial" w:eastAsia="Times New Roman" w:hAnsi="Arial" w:cs="Arial"/>
                      <w:w w:val="105"/>
                    </w:rPr>
                  </w:pPr>
                  <w:r w:rsidRPr="00401CCB">
                    <w:rPr>
                      <w:rFonts w:ascii="Arial" w:eastAsia="Times New Roman" w:hAnsi="Arial" w:cs="Arial"/>
                      <w:w w:val="105"/>
                    </w:rPr>
                    <w:t>Pour chaque proposition, écrire le processus mis en œuvre avec un indicateur</w:t>
                  </w:r>
                </w:p>
              </w:tc>
              <w:tc>
                <w:tcPr>
                  <w:tcW w:w="2268" w:type="dxa"/>
                </w:tcPr>
                <w:p w14:paraId="71F639F5" w14:textId="77777777" w:rsidR="00FC266A" w:rsidRPr="00401CCB" w:rsidRDefault="00FC266A" w:rsidP="00865865">
                  <w:pPr>
                    <w:rPr>
                      <w:rFonts w:ascii="Arial" w:eastAsia="Times New Roman" w:hAnsi="Arial" w:cs="Arial"/>
                      <w:b/>
                      <w:w w:val="105"/>
                    </w:rPr>
                  </w:pPr>
                  <w:r w:rsidRPr="00401CCB">
                    <w:rPr>
                      <w:rFonts w:ascii="Arial" w:eastAsia="Times New Roman" w:hAnsi="Arial" w:cs="Arial"/>
                      <w:b/>
                      <w:w w:val="105"/>
                    </w:rPr>
                    <w:t>Dates clé</w:t>
                  </w:r>
                </w:p>
              </w:tc>
            </w:tr>
            <w:tr w:rsidR="00FC266A" w:rsidRPr="00401CCB" w14:paraId="302A1563" w14:textId="77777777" w:rsidTr="007B5ED0">
              <w:trPr>
                <w:trHeight w:val="410"/>
              </w:trPr>
              <w:tc>
                <w:tcPr>
                  <w:tcW w:w="3011" w:type="dxa"/>
                </w:tcPr>
                <w:p w14:paraId="26A1DFD5" w14:textId="77777777" w:rsidR="00FC266A" w:rsidRPr="00401CCB" w:rsidRDefault="00FC266A" w:rsidP="007B5ED0">
                  <w:pPr>
                    <w:widowControl w:val="0"/>
                    <w:ind w:left="55"/>
                    <w:rPr>
                      <w:rFonts w:ascii="Arial" w:eastAsia="Times New Roman" w:hAnsi="Arial" w:cs="Arial"/>
                      <w:b/>
                      <w:w w:val="105"/>
                    </w:rPr>
                  </w:pPr>
                  <w:r w:rsidRPr="00401CCB">
                    <w:rPr>
                      <w:rFonts w:ascii="Arial" w:eastAsia="Times New Roman" w:hAnsi="Arial" w:cs="Arial"/>
                      <w:b/>
                      <w:w w:val="105"/>
                    </w:rPr>
                    <w:t>…</w:t>
                  </w:r>
                </w:p>
              </w:tc>
              <w:tc>
                <w:tcPr>
                  <w:tcW w:w="9214" w:type="dxa"/>
                </w:tcPr>
                <w:p w14:paraId="2B14BE41" w14:textId="77777777" w:rsidR="00FC266A" w:rsidRPr="00401CCB" w:rsidRDefault="00FC266A" w:rsidP="00865865">
                  <w:pPr>
                    <w:widowControl w:val="0"/>
                    <w:ind w:left="317"/>
                    <w:rPr>
                      <w:rFonts w:ascii="Arial" w:eastAsia="Times New Roman" w:hAnsi="Arial" w:cs="Arial"/>
                      <w:w w:val="105"/>
                    </w:rPr>
                  </w:pPr>
                </w:p>
              </w:tc>
              <w:tc>
                <w:tcPr>
                  <w:tcW w:w="2268" w:type="dxa"/>
                </w:tcPr>
                <w:p w14:paraId="55D38F37" w14:textId="77777777" w:rsidR="00FC266A" w:rsidRPr="00401CCB" w:rsidRDefault="00FC266A" w:rsidP="00865865">
                  <w:pPr>
                    <w:widowControl w:val="0"/>
                    <w:rPr>
                      <w:rFonts w:ascii="Arial" w:eastAsia="Times New Roman" w:hAnsi="Arial" w:cs="Arial"/>
                      <w:w w:val="105"/>
                    </w:rPr>
                  </w:pPr>
                </w:p>
              </w:tc>
            </w:tr>
            <w:tr w:rsidR="00FC266A" w:rsidRPr="00AA0CB0" w14:paraId="76D8412B" w14:textId="77777777" w:rsidTr="007B5ED0">
              <w:trPr>
                <w:trHeight w:val="423"/>
              </w:trPr>
              <w:tc>
                <w:tcPr>
                  <w:tcW w:w="3011" w:type="dxa"/>
                </w:tcPr>
                <w:p w14:paraId="598339BA" w14:textId="77777777" w:rsidR="00FC266A" w:rsidRPr="00AA0CB0" w:rsidRDefault="00FC266A" w:rsidP="007B5ED0">
                  <w:pPr>
                    <w:widowControl w:val="0"/>
                    <w:ind w:left="55"/>
                    <w:rPr>
                      <w:rFonts w:ascii="Arial" w:eastAsia="Times New Roman" w:hAnsi="Arial" w:cs="Arial"/>
                      <w:w w:val="105"/>
                    </w:rPr>
                  </w:pPr>
                  <w:r w:rsidRPr="00401CCB">
                    <w:rPr>
                      <w:rFonts w:ascii="Arial" w:eastAsia="Times New Roman" w:hAnsi="Arial" w:cs="Arial"/>
                      <w:b/>
                      <w:w w:val="105"/>
                    </w:rPr>
                    <w:t>…</w:t>
                  </w:r>
                  <w:r w:rsidRPr="00AA0CB0">
                    <w:rPr>
                      <w:rFonts w:ascii="Arial" w:eastAsia="Times New Roman" w:hAnsi="Arial" w:cs="Arial"/>
                      <w:w w:val="105"/>
                    </w:rPr>
                    <w:t xml:space="preserve"> </w:t>
                  </w:r>
                </w:p>
              </w:tc>
              <w:tc>
                <w:tcPr>
                  <w:tcW w:w="9214" w:type="dxa"/>
                </w:tcPr>
                <w:p w14:paraId="1A4A6858" w14:textId="77777777" w:rsidR="00FC266A" w:rsidRPr="00AA0CB0" w:rsidRDefault="00FC266A" w:rsidP="00865865">
                  <w:pPr>
                    <w:rPr>
                      <w:rFonts w:ascii="Arial" w:eastAsia="Times New Roman" w:hAnsi="Arial" w:cs="Arial"/>
                      <w:w w:val="105"/>
                    </w:rPr>
                  </w:pPr>
                </w:p>
              </w:tc>
              <w:tc>
                <w:tcPr>
                  <w:tcW w:w="2268" w:type="dxa"/>
                </w:tcPr>
                <w:p w14:paraId="3391AE4B" w14:textId="77777777" w:rsidR="00FC266A" w:rsidRPr="00AA0CB0" w:rsidRDefault="00FC266A" w:rsidP="00865865">
                  <w:pPr>
                    <w:rPr>
                      <w:rFonts w:ascii="Arial" w:eastAsia="Times New Roman" w:hAnsi="Arial" w:cs="Arial"/>
                      <w:w w:val="105"/>
                    </w:rPr>
                  </w:pPr>
                </w:p>
              </w:tc>
            </w:tr>
            <w:tr w:rsidR="00FC266A" w:rsidRPr="00AA0CB0" w14:paraId="3C0FBDE1" w14:textId="77777777" w:rsidTr="007B5ED0">
              <w:trPr>
                <w:trHeight w:val="414"/>
              </w:trPr>
              <w:tc>
                <w:tcPr>
                  <w:tcW w:w="3011" w:type="dxa"/>
                </w:tcPr>
                <w:p w14:paraId="61490B3A" w14:textId="77777777" w:rsidR="00FC266A" w:rsidRPr="00AA0CB0" w:rsidRDefault="00FC266A" w:rsidP="00865865">
                  <w:pPr>
                    <w:widowControl w:val="0"/>
                    <w:ind w:left="55"/>
                    <w:rPr>
                      <w:rFonts w:ascii="Arial" w:eastAsia="Times New Roman" w:hAnsi="Arial" w:cs="Arial"/>
                      <w:b/>
                      <w:w w:val="105"/>
                    </w:rPr>
                  </w:pPr>
                </w:p>
              </w:tc>
              <w:tc>
                <w:tcPr>
                  <w:tcW w:w="9214" w:type="dxa"/>
                </w:tcPr>
                <w:p w14:paraId="4A408C9B" w14:textId="77777777" w:rsidR="00FC266A" w:rsidRPr="00AA0CB0" w:rsidRDefault="00FC266A" w:rsidP="00865865">
                  <w:pPr>
                    <w:rPr>
                      <w:rFonts w:ascii="Arial" w:eastAsia="Times New Roman" w:hAnsi="Arial" w:cs="Arial"/>
                      <w:w w:val="105"/>
                    </w:rPr>
                  </w:pPr>
                </w:p>
              </w:tc>
              <w:tc>
                <w:tcPr>
                  <w:tcW w:w="2268" w:type="dxa"/>
                </w:tcPr>
                <w:p w14:paraId="295EFCAA" w14:textId="77777777" w:rsidR="00FC266A" w:rsidRPr="00AA0CB0" w:rsidRDefault="00FC266A" w:rsidP="00865865">
                  <w:pPr>
                    <w:rPr>
                      <w:rFonts w:ascii="Arial" w:eastAsia="Times New Roman" w:hAnsi="Arial" w:cs="Arial"/>
                      <w:w w:val="105"/>
                    </w:rPr>
                  </w:pPr>
                </w:p>
              </w:tc>
            </w:tr>
          </w:tbl>
          <w:p w14:paraId="42F43C73" w14:textId="77777777" w:rsidR="00FC266A" w:rsidRPr="00AA0CB0" w:rsidRDefault="00FC266A" w:rsidP="00865865">
            <w:pPr>
              <w:widowControl w:val="0"/>
              <w:ind w:left="90"/>
              <w:rPr>
                <w:rFonts w:ascii="Arial" w:eastAsia="Times New Roman" w:hAnsi="Arial" w:cs="Arial"/>
                <w:b/>
                <w:color w:val="00B5C6"/>
                <w:w w:val="105"/>
                <w:sz w:val="28"/>
                <w:szCs w:val="28"/>
              </w:rPr>
            </w:pPr>
          </w:p>
        </w:tc>
      </w:tr>
    </w:tbl>
    <w:p w14:paraId="14222659" w14:textId="77777777" w:rsidR="00D4569F" w:rsidRDefault="00D4569F" w:rsidP="00A97672"/>
    <w:sectPr w:rsidR="00D4569F" w:rsidSect="007B5ED0">
      <w:pgSz w:w="16838" w:h="11906" w:orient="landscape"/>
      <w:pgMar w:top="706" w:right="1134" w:bottom="1134" w:left="1134" w:header="709" w:footer="9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9FFDCC" w14:textId="77777777" w:rsidR="00FB5AEE" w:rsidRDefault="00FB5AEE" w:rsidP="00FC266A">
      <w:r>
        <w:separator/>
      </w:r>
    </w:p>
  </w:endnote>
  <w:endnote w:type="continuationSeparator" w:id="0">
    <w:p w14:paraId="3E30DE11" w14:textId="77777777" w:rsidR="00FB5AEE" w:rsidRDefault="00FB5AEE" w:rsidP="00FC2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2CA6E" w14:textId="766D2E7A" w:rsidR="00FC266A" w:rsidRPr="001E1709" w:rsidRDefault="001B37E2" w:rsidP="00436D64">
    <w:pPr>
      <w:pStyle w:val="Pieddepage"/>
      <w:ind w:right="-739"/>
      <w:jc w:val="right"/>
      <w:rPr>
        <w:rFonts w:ascii="Cambria" w:hAnsi="Cambria"/>
        <w:b/>
        <w:color w:val="31849B"/>
      </w:rPr>
    </w:pPr>
    <w:r w:rsidRPr="001E1709">
      <w:rPr>
        <w:rFonts w:ascii="Calibri" w:hAnsi="Calibri"/>
        <w:b/>
        <w:noProof/>
        <w:color w:val="31849B"/>
        <w:sz w:val="16"/>
        <w:szCs w:val="28"/>
        <w:lang w:eastAsia="fr-FR"/>
      </w:rPr>
      <mc:AlternateContent>
        <mc:Choice Requires="wps">
          <w:drawing>
            <wp:anchor distT="0" distB="0" distL="114300" distR="114300" simplePos="0" relativeHeight="251661312" behindDoc="0" locked="0" layoutInCell="1" allowOverlap="1" wp14:anchorId="53A803A2" wp14:editId="6DEF80A1">
              <wp:simplePos x="0" y="0"/>
              <wp:positionH relativeFrom="column">
                <wp:posOffset>917879</wp:posOffset>
              </wp:positionH>
              <wp:positionV relativeFrom="paragraph">
                <wp:posOffset>-23137</wp:posOffset>
              </wp:positionV>
              <wp:extent cx="2499139" cy="747423"/>
              <wp:effectExtent l="0" t="0" r="0" b="0"/>
              <wp:wrapNone/>
              <wp:docPr id="2335" name="Zone de texte 2335"/>
              <wp:cNvGraphicFramePr/>
              <a:graphic xmlns:a="http://schemas.openxmlformats.org/drawingml/2006/main">
                <a:graphicData uri="http://schemas.microsoft.com/office/word/2010/wordprocessingShape">
                  <wps:wsp>
                    <wps:cNvSpPr txBox="1"/>
                    <wps:spPr>
                      <a:xfrm>
                        <a:off x="0" y="0"/>
                        <a:ext cx="2499139" cy="74742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F782134" w14:textId="3682A602"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 Bureau Dgesco A2-2</w:t>
                          </w:r>
                          <w:r>
                            <w:rPr>
                              <w:rFonts w:ascii="Calibri" w:hAnsi="Calibri"/>
                              <w:b/>
                              <w:color w:val="00B5C6"/>
                              <w:sz w:val="16"/>
                              <w:szCs w:val="28"/>
                            </w:rPr>
                            <w:t>, bureau des lycées professionnels, de l’apprentissage et de la formation professionnelle continue</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803A2" id="_x0000_t202" coordsize="21600,21600" o:spt="202" path="m,l,21600r21600,l21600,xe">
              <v:stroke joinstyle="miter"/>
              <v:path gradientshapeok="t" o:connecttype="rect"/>
            </v:shapetype>
            <v:shape id="Zone de texte 2335" o:spid="_x0000_s1026" type="#_x0000_t202" style="position:absolute;left:0;text-align:left;margin-left:72.25pt;margin-top:-1.8pt;width:196.8pt;height:58.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" fillcolor="white [3201]" stroked="f" strokeweight=".5pt">
              <v:textbox>
                <w:txbxContent>
                  <w:p w14:paraId="2F782134" w14:textId="3682A602" w:rsidR="001B37E2" w:rsidRPr="001B37E2" w:rsidRDefault="001B37E2" w:rsidP="001B37E2">
                    <w:pPr>
                      <w:rPr>
                        <w:rFonts w:ascii="Calibri" w:hAnsi="Calibri"/>
                        <w:b/>
                        <w:color w:val="00B5C6"/>
                        <w:sz w:val="16"/>
                        <w:szCs w:val="28"/>
                      </w:rPr>
                    </w:pPr>
                    <w:r w:rsidRPr="001B37E2">
                      <w:rPr>
                        <w:rFonts w:ascii="Calibri" w:hAnsi="Calibri"/>
                        <w:b/>
                        <w:color w:val="00B5C6"/>
                        <w:sz w:val="16"/>
                        <w:szCs w:val="28"/>
                      </w:rPr>
                      <w:t>Contributeurs : Bureau Dgesco A2-2</w:t>
                    </w:r>
                    <w:r>
                      <w:rPr>
                        <w:rFonts w:ascii="Calibri" w:hAnsi="Calibri"/>
                        <w:b/>
                        <w:color w:val="00B5C6"/>
                        <w:sz w:val="16"/>
                        <w:szCs w:val="28"/>
                      </w:rPr>
                      <w:t>, bureau des lycées professionnels, de l’apprentissage et de la formation professionnelle continue</w:t>
                    </w:r>
                  </w:p>
                  <w:p w14:paraId="5DA0C5BF" w14:textId="3479BCD3" w:rsidR="00436D64" w:rsidRPr="001E1709" w:rsidRDefault="001B37E2" w:rsidP="001B37E2">
                    <w:pPr>
                      <w:rPr>
                        <w:rFonts w:ascii="Calibri" w:hAnsi="Calibri"/>
                        <w:b/>
                        <w:color w:val="00B5C6"/>
                        <w:sz w:val="16"/>
                        <w:szCs w:val="28"/>
                      </w:rPr>
                    </w:pPr>
                    <w:r w:rsidRPr="001B37E2">
                      <w:rPr>
                        <w:rFonts w:ascii="Calibri" w:hAnsi="Calibri"/>
                        <w:b/>
                        <w:color w:val="00B5C6"/>
                        <w:sz w:val="16"/>
                        <w:szCs w:val="28"/>
                      </w:rPr>
                      <w:t xml:space="preserve">Mise à jour </w:t>
                    </w:r>
                    <w:r w:rsidR="00496A06">
                      <w:rPr>
                        <w:rFonts w:ascii="Calibri" w:hAnsi="Calibri"/>
                        <w:b/>
                        <w:color w:val="00B5C6"/>
                        <w:sz w:val="16"/>
                        <w:szCs w:val="28"/>
                      </w:rPr>
                      <w:t>décembre</w:t>
                    </w:r>
                    <w:r w:rsidRPr="001B37E2">
                      <w:rPr>
                        <w:rFonts w:ascii="Calibri" w:hAnsi="Calibri"/>
                        <w:b/>
                        <w:color w:val="00B5C6"/>
                        <w:sz w:val="16"/>
                        <w:szCs w:val="28"/>
                      </w:rPr>
                      <w:t xml:space="preserve"> 2025</w:t>
                    </w:r>
                  </w:p>
                </w:txbxContent>
              </v:textbox>
            </v:shape>
          </w:pict>
        </mc:Fallback>
      </mc:AlternateContent>
    </w:r>
    <w:r w:rsidR="001E1709" w:rsidRPr="001E1709">
      <w:rPr>
        <w:rFonts w:ascii="Calibri" w:hAnsi="Calibri"/>
        <w:b/>
        <w:noProof/>
        <w:color w:val="31849B"/>
        <w:sz w:val="16"/>
        <w:szCs w:val="28"/>
        <w:lang w:eastAsia="fr-FR"/>
      </w:rPr>
      <mc:AlternateContent>
        <mc:Choice Requires="wps">
          <w:drawing>
            <wp:anchor distT="0" distB="0" distL="114300" distR="114300" simplePos="0" relativeHeight="251659264" behindDoc="0" locked="0" layoutInCell="1" allowOverlap="1" wp14:anchorId="0E5BB477" wp14:editId="4C528B2A">
              <wp:simplePos x="0" y="0"/>
              <wp:positionH relativeFrom="column">
                <wp:posOffset>66719</wp:posOffset>
              </wp:positionH>
              <wp:positionV relativeFrom="paragraph">
                <wp:posOffset>13704</wp:posOffset>
              </wp:positionV>
              <wp:extent cx="722630" cy="632800"/>
              <wp:effectExtent l="0" t="0" r="20320" b="1524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722630" cy="632800"/>
                      </a:xfrm>
                      <a:prstGeom prst="flowChartMagneticTape">
                        <a:avLst/>
                      </a:prstGeom>
                      <a:solidFill>
                        <a:schemeClr val="bg1">
                          <a:alpha val="0"/>
                        </a:schemeClr>
                      </a:solidFill>
                      <a:ln w="19050">
                        <a:solidFill>
                          <a:srgbClr val="00B5C6"/>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9D5D6B2" w14:textId="26934352"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A03D13">
                            <w:rPr>
                              <w:rFonts w:ascii="Marianne" w:hAnsi="Marianne"/>
                              <w:b/>
                              <w:color w:val="00B5C6"/>
                              <w:sz w:val="24"/>
                              <w:szCs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BB477" id="_x0000_t131" coordsize="21600,21600" o:spt="131" path="ar,,21600,21600,18685,18165,10677,21597l20990,21597r,-3432xe">
              <v:stroke joinstyle="miter"/>
              <v:path o:connecttype="rect" textboxrect="3163,3163,18437,18437"/>
            </v:shapetype>
            <v:shape id="Organigramme : Stockage à accès séquentiel 2336" o:spid="_x0000_s1027" type="#_x0000_t131" style="position:absolute;left:0;text-align:left;margin-left:5.25pt;margin-top:1.1pt;width:56.9pt;height:4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" fillcolor="white [3212]" strokecolor="#00b5c6" strokeweight="1.5pt">
              <v:fill opacity="0"/>
              <v:textbox>
                <w:txbxContent>
                  <w:p w14:paraId="79D5D6B2" w14:textId="26934352" w:rsidR="00436D64" w:rsidRPr="00436D64" w:rsidRDefault="00436D64" w:rsidP="002B1FB6">
                    <w:pPr>
                      <w:jc w:val="center"/>
                      <w:rPr>
                        <w:rFonts w:ascii="Marianne" w:hAnsi="Marianne"/>
                        <w:b/>
                        <w:color w:val="00B5C6"/>
                        <w:sz w:val="24"/>
                        <w:szCs w:val="24"/>
                      </w:rPr>
                    </w:pPr>
                    <w:r w:rsidRPr="00436D64">
                      <w:rPr>
                        <w:rFonts w:ascii="Marianne" w:hAnsi="Marianne"/>
                        <w:b/>
                        <w:color w:val="00B5C6"/>
                        <w:sz w:val="24"/>
                        <w:szCs w:val="24"/>
                      </w:rPr>
                      <w:t>2.</w:t>
                    </w:r>
                    <w:r w:rsidR="00D40C51">
                      <w:rPr>
                        <w:rFonts w:ascii="Marianne" w:hAnsi="Marianne"/>
                        <w:b/>
                        <w:color w:val="00B5C6"/>
                        <w:sz w:val="24"/>
                        <w:szCs w:val="24"/>
                      </w:rPr>
                      <w:t>1</w:t>
                    </w:r>
                    <w:r w:rsidR="00A03D13">
                      <w:rPr>
                        <w:rFonts w:ascii="Marianne" w:hAnsi="Marianne"/>
                        <w:b/>
                        <w:color w:val="00B5C6"/>
                        <w:sz w:val="24"/>
                        <w:szCs w:val="24"/>
                      </w:rPr>
                      <w:t>4</w:t>
                    </w:r>
                  </w:p>
                </w:txbxContent>
              </v:textbox>
            </v:shape>
          </w:pict>
        </mc:Fallback>
      </mc:AlternateContent>
    </w:r>
    <w:r w:rsidR="00436D64">
      <w:rPr>
        <w:noProof/>
        <w14:ligatures w14:val="standardContextual"/>
      </w:rPr>
      <w:drawing>
        <wp:inline distT="0" distB="0" distL="0" distR="0" wp14:anchorId="61F23456" wp14:editId="07F6ABD9">
          <wp:extent cx="6028690" cy="677604"/>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028690" cy="67760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0D22C" w14:textId="77777777" w:rsidR="00FB5AEE" w:rsidRDefault="00FB5AEE" w:rsidP="00FC266A">
      <w:bookmarkStart w:id="0" w:name="_Hlk215655429"/>
      <w:bookmarkEnd w:id="0"/>
      <w:r>
        <w:separator/>
      </w:r>
    </w:p>
  </w:footnote>
  <w:footnote w:type="continuationSeparator" w:id="0">
    <w:p w14:paraId="0D635D25" w14:textId="77777777" w:rsidR="00FB5AEE" w:rsidRDefault="00FB5AEE" w:rsidP="00FC26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F22A8C"/>
    <w:multiLevelType w:val="hybridMultilevel"/>
    <w:tmpl w:val="12C697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EF263E1"/>
    <w:multiLevelType w:val="hybridMultilevel"/>
    <w:tmpl w:val="0E6211D0"/>
    <w:lvl w:ilvl="0" w:tplc="040C0001">
      <w:start w:val="1"/>
      <w:numFmt w:val="bullet"/>
      <w:lvlText w:val=""/>
      <w:lvlJc w:val="left"/>
      <w:pPr>
        <w:ind w:left="743" w:hanging="360"/>
      </w:pPr>
      <w:rPr>
        <w:rFonts w:ascii="Symbol" w:hAnsi="Symbol" w:hint="default"/>
      </w:rPr>
    </w:lvl>
    <w:lvl w:ilvl="1" w:tplc="040C0003" w:tentative="1">
      <w:start w:val="1"/>
      <w:numFmt w:val="bullet"/>
      <w:lvlText w:val="o"/>
      <w:lvlJc w:val="left"/>
      <w:pPr>
        <w:ind w:left="1463" w:hanging="360"/>
      </w:pPr>
      <w:rPr>
        <w:rFonts w:ascii="Courier New" w:hAnsi="Courier New" w:cs="Courier New" w:hint="default"/>
      </w:rPr>
    </w:lvl>
    <w:lvl w:ilvl="2" w:tplc="040C0005" w:tentative="1">
      <w:start w:val="1"/>
      <w:numFmt w:val="bullet"/>
      <w:lvlText w:val=""/>
      <w:lvlJc w:val="left"/>
      <w:pPr>
        <w:ind w:left="2183" w:hanging="360"/>
      </w:pPr>
      <w:rPr>
        <w:rFonts w:ascii="Wingdings" w:hAnsi="Wingdings" w:hint="default"/>
      </w:rPr>
    </w:lvl>
    <w:lvl w:ilvl="3" w:tplc="040C0001" w:tentative="1">
      <w:start w:val="1"/>
      <w:numFmt w:val="bullet"/>
      <w:lvlText w:val=""/>
      <w:lvlJc w:val="left"/>
      <w:pPr>
        <w:ind w:left="2903" w:hanging="360"/>
      </w:pPr>
      <w:rPr>
        <w:rFonts w:ascii="Symbol" w:hAnsi="Symbol" w:hint="default"/>
      </w:rPr>
    </w:lvl>
    <w:lvl w:ilvl="4" w:tplc="040C0003" w:tentative="1">
      <w:start w:val="1"/>
      <w:numFmt w:val="bullet"/>
      <w:lvlText w:val="o"/>
      <w:lvlJc w:val="left"/>
      <w:pPr>
        <w:ind w:left="3623" w:hanging="360"/>
      </w:pPr>
      <w:rPr>
        <w:rFonts w:ascii="Courier New" w:hAnsi="Courier New" w:cs="Courier New" w:hint="default"/>
      </w:rPr>
    </w:lvl>
    <w:lvl w:ilvl="5" w:tplc="040C0005" w:tentative="1">
      <w:start w:val="1"/>
      <w:numFmt w:val="bullet"/>
      <w:lvlText w:val=""/>
      <w:lvlJc w:val="left"/>
      <w:pPr>
        <w:ind w:left="4343" w:hanging="360"/>
      </w:pPr>
      <w:rPr>
        <w:rFonts w:ascii="Wingdings" w:hAnsi="Wingdings" w:hint="default"/>
      </w:rPr>
    </w:lvl>
    <w:lvl w:ilvl="6" w:tplc="040C0001" w:tentative="1">
      <w:start w:val="1"/>
      <w:numFmt w:val="bullet"/>
      <w:lvlText w:val=""/>
      <w:lvlJc w:val="left"/>
      <w:pPr>
        <w:ind w:left="5063" w:hanging="360"/>
      </w:pPr>
      <w:rPr>
        <w:rFonts w:ascii="Symbol" w:hAnsi="Symbol" w:hint="default"/>
      </w:rPr>
    </w:lvl>
    <w:lvl w:ilvl="7" w:tplc="040C0003" w:tentative="1">
      <w:start w:val="1"/>
      <w:numFmt w:val="bullet"/>
      <w:lvlText w:val="o"/>
      <w:lvlJc w:val="left"/>
      <w:pPr>
        <w:ind w:left="5783" w:hanging="360"/>
      </w:pPr>
      <w:rPr>
        <w:rFonts w:ascii="Courier New" w:hAnsi="Courier New" w:cs="Courier New" w:hint="default"/>
      </w:rPr>
    </w:lvl>
    <w:lvl w:ilvl="8" w:tplc="040C0005" w:tentative="1">
      <w:start w:val="1"/>
      <w:numFmt w:val="bullet"/>
      <w:lvlText w:val=""/>
      <w:lvlJc w:val="left"/>
      <w:pPr>
        <w:ind w:left="6503" w:hanging="360"/>
      </w:pPr>
      <w:rPr>
        <w:rFonts w:ascii="Wingdings" w:hAnsi="Wingdings" w:hint="default"/>
      </w:rPr>
    </w:lvl>
  </w:abstractNum>
  <w:abstractNum w:abstractNumId="3" w15:restartNumberingAfterBreak="0">
    <w:nsid w:val="26BE0AC0"/>
    <w:multiLevelType w:val="hybridMultilevel"/>
    <w:tmpl w:val="C5FC0D90"/>
    <w:lvl w:ilvl="0" w:tplc="28AE27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FD00549"/>
    <w:multiLevelType w:val="hybridMultilevel"/>
    <w:tmpl w:val="82EAE1A0"/>
    <w:lvl w:ilvl="0" w:tplc="CD7E0598">
      <w:start w:val="1"/>
      <w:numFmt w:val="bullet"/>
      <w:lvlText w:val=""/>
      <w:lvlJc w:val="left"/>
      <w:pPr>
        <w:ind w:left="450" w:hanging="360"/>
      </w:pPr>
      <w:rPr>
        <w:rFonts w:ascii="Symbol" w:hAnsi="Symbol" w:hint="default"/>
        <w:strike w:val="0"/>
        <w:color w:val="auto"/>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5" w15:restartNumberingAfterBreak="0">
    <w:nsid w:val="31BE0CF0"/>
    <w:multiLevelType w:val="hybridMultilevel"/>
    <w:tmpl w:val="07686BF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654F4FA9"/>
    <w:multiLevelType w:val="hybridMultilevel"/>
    <w:tmpl w:val="9C5635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761505F"/>
    <w:multiLevelType w:val="hybridMultilevel"/>
    <w:tmpl w:val="450675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7AB46D3"/>
    <w:multiLevelType w:val="multilevel"/>
    <w:tmpl w:val="AA726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7E2131"/>
    <w:multiLevelType w:val="hybridMultilevel"/>
    <w:tmpl w:val="394C6B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E26C45"/>
    <w:multiLevelType w:val="hybridMultilevel"/>
    <w:tmpl w:val="B866BFB6"/>
    <w:lvl w:ilvl="0" w:tplc="28AE279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28772443">
    <w:abstractNumId w:val="6"/>
  </w:num>
  <w:num w:numId="2" w16cid:durableId="1496527722">
    <w:abstractNumId w:val="0"/>
  </w:num>
  <w:num w:numId="3" w16cid:durableId="1942570898">
    <w:abstractNumId w:val="4"/>
  </w:num>
  <w:num w:numId="4" w16cid:durableId="8222907">
    <w:abstractNumId w:val="10"/>
  </w:num>
  <w:num w:numId="5" w16cid:durableId="2008701794">
    <w:abstractNumId w:val="5"/>
  </w:num>
  <w:num w:numId="6" w16cid:durableId="514928024">
    <w:abstractNumId w:val="3"/>
  </w:num>
  <w:num w:numId="7" w16cid:durableId="369577301">
    <w:abstractNumId w:val="11"/>
  </w:num>
  <w:num w:numId="8" w16cid:durableId="1019044905">
    <w:abstractNumId w:val="9"/>
  </w:num>
  <w:num w:numId="9" w16cid:durableId="1038550798">
    <w:abstractNumId w:val="7"/>
  </w:num>
  <w:num w:numId="10" w16cid:durableId="1159004305">
    <w:abstractNumId w:val="8"/>
  </w:num>
  <w:num w:numId="11" w16cid:durableId="1635872535">
    <w:abstractNumId w:val="1"/>
  </w:num>
  <w:num w:numId="12" w16cid:durableId="18681042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66A"/>
    <w:rsid w:val="000076AD"/>
    <w:rsid w:val="00017D29"/>
    <w:rsid w:val="00043764"/>
    <w:rsid w:val="000A1EDB"/>
    <w:rsid w:val="000A6FED"/>
    <w:rsid w:val="00106C6A"/>
    <w:rsid w:val="0015120D"/>
    <w:rsid w:val="00163453"/>
    <w:rsid w:val="00164144"/>
    <w:rsid w:val="00196F13"/>
    <w:rsid w:val="001B37E2"/>
    <w:rsid w:val="001E1709"/>
    <w:rsid w:val="001E5882"/>
    <w:rsid w:val="0021040A"/>
    <w:rsid w:val="002121F9"/>
    <w:rsid w:val="00234C73"/>
    <w:rsid w:val="00236A4F"/>
    <w:rsid w:val="0026423C"/>
    <w:rsid w:val="002A5DE8"/>
    <w:rsid w:val="002B1FB6"/>
    <w:rsid w:val="002E49DE"/>
    <w:rsid w:val="00300E11"/>
    <w:rsid w:val="00311F9A"/>
    <w:rsid w:val="00320FFB"/>
    <w:rsid w:val="003426AD"/>
    <w:rsid w:val="00355F6D"/>
    <w:rsid w:val="003B2904"/>
    <w:rsid w:val="003C3596"/>
    <w:rsid w:val="003F19AB"/>
    <w:rsid w:val="00401CCB"/>
    <w:rsid w:val="00431F5D"/>
    <w:rsid w:val="00436D64"/>
    <w:rsid w:val="00464261"/>
    <w:rsid w:val="00471AC7"/>
    <w:rsid w:val="00496A06"/>
    <w:rsid w:val="004B62D6"/>
    <w:rsid w:val="004B73D9"/>
    <w:rsid w:val="004C5166"/>
    <w:rsid w:val="004D6944"/>
    <w:rsid w:val="00505BAC"/>
    <w:rsid w:val="00515E99"/>
    <w:rsid w:val="0052485B"/>
    <w:rsid w:val="00543E17"/>
    <w:rsid w:val="00596E81"/>
    <w:rsid w:val="0059765A"/>
    <w:rsid w:val="005B3BB5"/>
    <w:rsid w:val="005F3EF7"/>
    <w:rsid w:val="0063223B"/>
    <w:rsid w:val="006A784C"/>
    <w:rsid w:val="006C2652"/>
    <w:rsid w:val="006D79C1"/>
    <w:rsid w:val="006E1FAD"/>
    <w:rsid w:val="00744498"/>
    <w:rsid w:val="00780F39"/>
    <w:rsid w:val="007B5ED0"/>
    <w:rsid w:val="007F272A"/>
    <w:rsid w:val="00830716"/>
    <w:rsid w:val="008702A8"/>
    <w:rsid w:val="008776F6"/>
    <w:rsid w:val="00887215"/>
    <w:rsid w:val="008C7E6F"/>
    <w:rsid w:val="008E2467"/>
    <w:rsid w:val="008F12CE"/>
    <w:rsid w:val="00905628"/>
    <w:rsid w:val="00927186"/>
    <w:rsid w:val="00935D6F"/>
    <w:rsid w:val="00983E10"/>
    <w:rsid w:val="00990C63"/>
    <w:rsid w:val="009926C1"/>
    <w:rsid w:val="009A7A62"/>
    <w:rsid w:val="009B360E"/>
    <w:rsid w:val="009B620E"/>
    <w:rsid w:val="00A03D13"/>
    <w:rsid w:val="00A05F09"/>
    <w:rsid w:val="00A778CE"/>
    <w:rsid w:val="00A94E6F"/>
    <w:rsid w:val="00A97672"/>
    <w:rsid w:val="00AA0CB0"/>
    <w:rsid w:val="00AA7E39"/>
    <w:rsid w:val="00AC414F"/>
    <w:rsid w:val="00AC6DC0"/>
    <w:rsid w:val="00B24E14"/>
    <w:rsid w:val="00B44C13"/>
    <w:rsid w:val="00B4659B"/>
    <w:rsid w:val="00B65C50"/>
    <w:rsid w:val="00B75018"/>
    <w:rsid w:val="00B8120E"/>
    <w:rsid w:val="00BA57FB"/>
    <w:rsid w:val="00BE62DB"/>
    <w:rsid w:val="00BE65D0"/>
    <w:rsid w:val="00C4020D"/>
    <w:rsid w:val="00CC73DE"/>
    <w:rsid w:val="00D403B1"/>
    <w:rsid w:val="00D40C51"/>
    <w:rsid w:val="00D4569F"/>
    <w:rsid w:val="00D647B1"/>
    <w:rsid w:val="00D66DCC"/>
    <w:rsid w:val="00D7761A"/>
    <w:rsid w:val="00DE354E"/>
    <w:rsid w:val="00E478E4"/>
    <w:rsid w:val="00E67071"/>
    <w:rsid w:val="00E96609"/>
    <w:rsid w:val="00EA060D"/>
    <w:rsid w:val="00F05FAC"/>
    <w:rsid w:val="00F25D01"/>
    <w:rsid w:val="00F70AC2"/>
    <w:rsid w:val="00FB0D15"/>
    <w:rsid w:val="00FB5AEE"/>
    <w:rsid w:val="00FC266A"/>
    <w:rsid w:val="00FF44CD"/>
    <w:rsid w:val="00FF49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C5B4"/>
  <w15:docId w15:val="{0812FD02-BC8D-455E-9C94-7CBA9095D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FAC"/>
    <w:pPr>
      <w:spacing w:after="0" w:line="240" w:lineRule="auto"/>
    </w:pPr>
    <w:rPr>
      <w:rFonts w:ascii="Times New Roman" w:eastAsiaTheme="minorEastAsia" w:hAnsi="Times New Roman" w:cs="Times New Roman"/>
      <w:sz w:val="20"/>
      <w:szCs w:val="20"/>
      <w:lang w:eastAsia="ja-JP"/>
    </w:rPr>
  </w:style>
  <w:style w:type="paragraph" w:styleId="Titre1">
    <w:name w:val="heading 1"/>
    <w:basedOn w:val="Normal"/>
    <w:next w:val="Normal"/>
    <w:link w:val="Titre1Car"/>
    <w:uiPriority w:val="9"/>
    <w:qFormat/>
    <w:rsid w:val="002642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next w:val="Sansinterligne"/>
    <w:link w:val="Titre2Car"/>
    <w:uiPriority w:val="9"/>
    <w:unhideWhenUsed/>
    <w:qFormat/>
    <w:rsid w:val="00FC266A"/>
    <w:pPr>
      <w:keepNext/>
      <w:keepLines/>
      <w:numPr>
        <w:numId w:val="1"/>
      </w:numPr>
      <w:spacing w:before="80" w:after="0" w:line="240" w:lineRule="auto"/>
      <w:ind w:left="737" w:hanging="737"/>
      <w:outlineLvl w:val="1"/>
    </w:pPr>
    <w:rPr>
      <w:rFonts w:ascii="Calibri" w:eastAsia="Times New Roman" w:hAnsi="Calibri" w:cs="Times New Roman"/>
      <w:b/>
      <w:bCs/>
      <w:color w:val="00B5C6"/>
      <w:sz w:val="44"/>
      <w:szCs w:val="2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C266A"/>
    <w:rPr>
      <w:rFonts w:ascii="Calibri" w:eastAsia="Times New Roman" w:hAnsi="Calibri" w:cs="Times New Roman"/>
      <w:b/>
      <w:bCs/>
      <w:color w:val="00B5C6"/>
      <w:sz w:val="44"/>
      <w:szCs w:val="26"/>
      <w:lang w:val="en-US"/>
    </w:rPr>
  </w:style>
  <w:style w:type="table" w:customStyle="1" w:styleId="Grilledutableau2">
    <w:name w:val="Grille du tableau2"/>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FC266A"/>
    <w:pPr>
      <w:spacing w:after="0" w:line="240" w:lineRule="auto"/>
    </w:pPr>
    <w:rPr>
      <w:rFonts w:ascii="Times New Roman" w:eastAsiaTheme="minorEastAsia" w:hAnsi="Times New Roman" w:cs="Times New Roman"/>
      <w:sz w:val="20"/>
      <w:szCs w:val="20"/>
      <w:lang w:eastAsia="ja-JP"/>
    </w:rPr>
  </w:style>
  <w:style w:type="table" w:styleId="Grilledutableau">
    <w:name w:val="Table Grid"/>
    <w:basedOn w:val="TableauNormal"/>
    <w:uiPriority w:val="59"/>
    <w:rsid w:val="00FC2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FC266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FC266A"/>
    <w:pPr>
      <w:tabs>
        <w:tab w:val="center" w:pos="4536"/>
        <w:tab w:val="right" w:pos="9072"/>
      </w:tabs>
    </w:pPr>
  </w:style>
  <w:style w:type="character" w:customStyle="1" w:styleId="En-tteCar">
    <w:name w:val="En-tête Car"/>
    <w:basedOn w:val="Policepardfaut"/>
    <w:link w:val="En-tte"/>
    <w:uiPriority w:val="99"/>
    <w:rsid w:val="00FC266A"/>
    <w:rPr>
      <w:rFonts w:ascii="Times New Roman" w:eastAsiaTheme="minorEastAsia" w:hAnsi="Times New Roman" w:cs="Times New Roman"/>
      <w:sz w:val="20"/>
      <w:szCs w:val="20"/>
      <w:lang w:eastAsia="ja-JP"/>
    </w:rPr>
  </w:style>
  <w:style w:type="paragraph" w:styleId="Pieddepage">
    <w:name w:val="footer"/>
    <w:basedOn w:val="Normal"/>
    <w:link w:val="PieddepageCar"/>
    <w:uiPriority w:val="99"/>
    <w:unhideWhenUsed/>
    <w:rsid w:val="00FC266A"/>
    <w:pPr>
      <w:tabs>
        <w:tab w:val="center" w:pos="4536"/>
        <w:tab w:val="right" w:pos="9072"/>
      </w:tabs>
    </w:pPr>
  </w:style>
  <w:style w:type="character" w:customStyle="1" w:styleId="PieddepageCar">
    <w:name w:val="Pied de page Car"/>
    <w:basedOn w:val="Policepardfaut"/>
    <w:link w:val="Pieddepage"/>
    <w:uiPriority w:val="99"/>
    <w:rsid w:val="00FC266A"/>
    <w:rPr>
      <w:rFonts w:ascii="Times New Roman" w:eastAsiaTheme="minorEastAsia" w:hAnsi="Times New Roman" w:cs="Times New Roman"/>
      <w:sz w:val="20"/>
      <w:szCs w:val="20"/>
      <w:lang w:eastAsia="ja-JP"/>
    </w:rPr>
  </w:style>
  <w:style w:type="paragraph" w:styleId="Textedebulles">
    <w:name w:val="Balloon Text"/>
    <w:basedOn w:val="Normal"/>
    <w:link w:val="TextedebullesCar"/>
    <w:uiPriority w:val="99"/>
    <w:semiHidden/>
    <w:unhideWhenUsed/>
    <w:rsid w:val="00FC266A"/>
    <w:rPr>
      <w:rFonts w:ascii="Tahoma" w:hAnsi="Tahoma" w:cs="Tahoma"/>
      <w:sz w:val="16"/>
      <w:szCs w:val="16"/>
    </w:rPr>
  </w:style>
  <w:style w:type="character" w:customStyle="1" w:styleId="TextedebullesCar">
    <w:name w:val="Texte de bulles Car"/>
    <w:basedOn w:val="Policepardfaut"/>
    <w:link w:val="Textedebulles"/>
    <w:uiPriority w:val="99"/>
    <w:semiHidden/>
    <w:rsid w:val="00FC266A"/>
    <w:rPr>
      <w:rFonts w:ascii="Tahoma" w:eastAsiaTheme="minorEastAsia" w:hAnsi="Tahoma" w:cs="Tahoma"/>
      <w:sz w:val="16"/>
      <w:szCs w:val="16"/>
      <w:lang w:eastAsia="ja-JP"/>
    </w:rPr>
  </w:style>
  <w:style w:type="paragraph" w:customStyle="1" w:styleId="Normal1">
    <w:name w:val="Normal1"/>
    <w:rsid w:val="00FC266A"/>
    <w:pPr>
      <w:pBdr>
        <w:top w:val="nil"/>
        <w:left w:val="nil"/>
        <w:bottom w:val="nil"/>
        <w:right w:val="nil"/>
        <w:between w:val="nil"/>
      </w:pBdr>
      <w:spacing w:after="0" w:line="240" w:lineRule="auto"/>
    </w:pPr>
    <w:rPr>
      <w:rFonts w:ascii="Times New Roman" w:eastAsia="Times New Roman" w:hAnsi="Times New Roman" w:cs="Times New Roman"/>
      <w:color w:val="000000"/>
      <w:sz w:val="20"/>
      <w:szCs w:val="20"/>
      <w:lang w:eastAsia="fr-FR"/>
    </w:rPr>
  </w:style>
  <w:style w:type="paragraph" w:styleId="Paragraphedeliste">
    <w:name w:val="List Paragraph"/>
    <w:basedOn w:val="Normal"/>
    <w:uiPriority w:val="34"/>
    <w:qFormat/>
    <w:rsid w:val="00AC414F"/>
    <w:pPr>
      <w:ind w:left="720"/>
      <w:contextualSpacing/>
    </w:pPr>
  </w:style>
  <w:style w:type="character" w:styleId="Lienhypertexte">
    <w:name w:val="Hyperlink"/>
    <w:basedOn w:val="Policepardfaut"/>
    <w:uiPriority w:val="99"/>
    <w:unhideWhenUsed/>
    <w:rsid w:val="005F3EF7"/>
    <w:rPr>
      <w:color w:val="0000FF" w:themeColor="hyperlink"/>
      <w:u w:val="single"/>
    </w:rPr>
  </w:style>
  <w:style w:type="character" w:styleId="Mentionnonrsolue">
    <w:name w:val="Unresolved Mention"/>
    <w:basedOn w:val="Policepardfaut"/>
    <w:uiPriority w:val="99"/>
    <w:semiHidden/>
    <w:unhideWhenUsed/>
    <w:rsid w:val="005F3EF7"/>
    <w:rPr>
      <w:color w:val="605E5C"/>
      <w:shd w:val="clear" w:color="auto" w:fill="E1DFDD"/>
    </w:rPr>
  </w:style>
  <w:style w:type="character" w:customStyle="1" w:styleId="Titre1Car">
    <w:name w:val="Titre 1 Car"/>
    <w:basedOn w:val="Policepardfaut"/>
    <w:link w:val="Titre1"/>
    <w:uiPriority w:val="9"/>
    <w:rsid w:val="0026423C"/>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0401">
      <w:bodyDiv w:val="1"/>
      <w:marLeft w:val="0"/>
      <w:marRight w:val="0"/>
      <w:marTop w:val="0"/>
      <w:marBottom w:val="0"/>
      <w:divBdr>
        <w:top w:val="none" w:sz="0" w:space="0" w:color="auto"/>
        <w:left w:val="none" w:sz="0" w:space="0" w:color="auto"/>
        <w:bottom w:val="none" w:sz="0" w:space="0" w:color="auto"/>
        <w:right w:val="none" w:sz="0" w:space="0" w:color="auto"/>
      </w:divBdr>
    </w:div>
    <w:div w:id="690764990">
      <w:bodyDiv w:val="1"/>
      <w:marLeft w:val="0"/>
      <w:marRight w:val="0"/>
      <w:marTop w:val="0"/>
      <w:marBottom w:val="0"/>
      <w:divBdr>
        <w:top w:val="none" w:sz="0" w:space="0" w:color="auto"/>
        <w:left w:val="none" w:sz="0" w:space="0" w:color="auto"/>
        <w:bottom w:val="none" w:sz="0" w:space="0" w:color="auto"/>
        <w:right w:val="none" w:sz="0" w:space="0" w:color="auto"/>
      </w:divBdr>
    </w:div>
    <w:div w:id="744108261">
      <w:bodyDiv w:val="1"/>
      <w:marLeft w:val="0"/>
      <w:marRight w:val="0"/>
      <w:marTop w:val="0"/>
      <w:marBottom w:val="0"/>
      <w:divBdr>
        <w:top w:val="none" w:sz="0" w:space="0" w:color="auto"/>
        <w:left w:val="none" w:sz="0" w:space="0" w:color="auto"/>
        <w:bottom w:val="none" w:sz="0" w:space="0" w:color="auto"/>
        <w:right w:val="none" w:sz="0" w:space="0" w:color="auto"/>
      </w:divBdr>
    </w:div>
    <w:div w:id="892697677">
      <w:bodyDiv w:val="1"/>
      <w:marLeft w:val="0"/>
      <w:marRight w:val="0"/>
      <w:marTop w:val="0"/>
      <w:marBottom w:val="0"/>
      <w:divBdr>
        <w:top w:val="none" w:sz="0" w:space="0" w:color="auto"/>
        <w:left w:val="none" w:sz="0" w:space="0" w:color="auto"/>
        <w:bottom w:val="none" w:sz="0" w:space="0" w:color="auto"/>
        <w:right w:val="none" w:sz="0" w:space="0" w:color="auto"/>
      </w:divBdr>
    </w:div>
    <w:div w:id="910579958">
      <w:bodyDiv w:val="1"/>
      <w:marLeft w:val="0"/>
      <w:marRight w:val="0"/>
      <w:marTop w:val="0"/>
      <w:marBottom w:val="0"/>
      <w:divBdr>
        <w:top w:val="none" w:sz="0" w:space="0" w:color="auto"/>
        <w:left w:val="none" w:sz="0" w:space="0" w:color="auto"/>
        <w:bottom w:val="none" w:sz="0" w:space="0" w:color="auto"/>
        <w:right w:val="none" w:sz="0" w:space="0" w:color="auto"/>
      </w:divBdr>
    </w:div>
    <w:div w:id="943999678">
      <w:bodyDiv w:val="1"/>
      <w:marLeft w:val="0"/>
      <w:marRight w:val="0"/>
      <w:marTop w:val="0"/>
      <w:marBottom w:val="0"/>
      <w:divBdr>
        <w:top w:val="none" w:sz="0" w:space="0" w:color="auto"/>
        <w:left w:val="none" w:sz="0" w:space="0" w:color="auto"/>
        <w:bottom w:val="none" w:sz="0" w:space="0" w:color="auto"/>
        <w:right w:val="none" w:sz="0" w:space="0" w:color="auto"/>
      </w:divBdr>
    </w:div>
    <w:div w:id="1044476288">
      <w:bodyDiv w:val="1"/>
      <w:marLeft w:val="0"/>
      <w:marRight w:val="0"/>
      <w:marTop w:val="0"/>
      <w:marBottom w:val="0"/>
      <w:divBdr>
        <w:top w:val="none" w:sz="0" w:space="0" w:color="auto"/>
        <w:left w:val="none" w:sz="0" w:space="0" w:color="auto"/>
        <w:bottom w:val="none" w:sz="0" w:space="0" w:color="auto"/>
        <w:right w:val="none" w:sz="0" w:space="0" w:color="auto"/>
      </w:divBdr>
    </w:div>
    <w:div w:id="1252396531">
      <w:bodyDiv w:val="1"/>
      <w:marLeft w:val="0"/>
      <w:marRight w:val="0"/>
      <w:marTop w:val="0"/>
      <w:marBottom w:val="0"/>
      <w:divBdr>
        <w:top w:val="none" w:sz="0" w:space="0" w:color="auto"/>
        <w:left w:val="none" w:sz="0" w:space="0" w:color="auto"/>
        <w:bottom w:val="none" w:sz="0" w:space="0" w:color="auto"/>
        <w:right w:val="none" w:sz="0" w:space="0" w:color="auto"/>
      </w:divBdr>
    </w:div>
    <w:div w:id="1539274638">
      <w:bodyDiv w:val="1"/>
      <w:marLeft w:val="0"/>
      <w:marRight w:val="0"/>
      <w:marTop w:val="0"/>
      <w:marBottom w:val="0"/>
      <w:divBdr>
        <w:top w:val="none" w:sz="0" w:space="0" w:color="auto"/>
        <w:left w:val="none" w:sz="0" w:space="0" w:color="auto"/>
        <w:bottom w:val="none" w:sz="0" w:space="0" w:color="auto"/>
        <w:right w:val="none" w:sz="0" w:space="0" w:color="auto"/>
      </w:divBdr>
    </w:div>
    <w:div w:id="193628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france.gouv.fr/codes/article_lc/LEGIARTI000041444470/" TargetMode="External"/><Relationship Id="rId18" Type="http://schemas.openxmlformats.org/officeDocument/2006/relationships/hyperlink" Target="https://www.education.gouv.fr/bo/14/Hebdo6/MENE1401644C.htm" TargetMode="External"/><Relationship Id="rId26" Type="http://schemas.openxmlformats.org/officeDocument/2006/relationships/hyperlink" Target="file:///\\sfer.in.adc.education.fr\MesEspacesPartages\str-dgesco-a2-2\QUALITE%20-%20LABELS\2_QUALEDUC\Outils%20Qualeduc\Guide2020_Fiches_Word\MAJ\Sixi&#232;me%20partie%20:%20La%20formation%20professionnelle%20tout%20au%20long%20de%20la%20vie%20(Articles%20L6111-1%20&#224;%20L6523-7)" TargetMode="External"/><Relationship Id="rId39" Type="http://schemas.openxmlformats.org/officeDocument/2006/relationships/hyperlink" Target="https://www.education.gouv.fr/bo/13/Hebdo20/MENE1311170C.htm" TargetMode="External"/><Relationship Id="rId21" Type="http://schemas.openxmlformats.org/officeDocument/2006/relationships/hyperlink" Target="https://www.legifrance.gouv.fr/affichCode.do?idSectionTA=LEGISCTA000034095631&amp;cidTexte=LEGITEXT000006071191" TargetMode="External"/><Relationship Id="rId34" Type="http://schemas.openxmlformats.org/officeDocument/2006/relationships/hyperlink" Target="https://www.legifrance.gouv.fr/codes/article_lc/LEGIARTI000006524831/2000-06-22" TargetMode="External"/><Relationship Id="rId42" Type="http://schemas.openxmlformats.org/officeDocument/2006/relationships/footer" Target="footer1.xml"/><Relationship Id="rId47" Type="http://schemas.openxmlformats.org/officeDocument/2006/relationships/hyperlink" Target="https://www.legifrance.gouv.fr/jorf/id/JORFTEXT000051862199" TargetMode="External"/><Relationship Id="rId50" Type="http://schemas.openxmlformats.org/officeDocument/2006/relationships/hyperlink" Target="https://www.legifrance.gouv.fr/loda/id/JORFTEXT000024021430/"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education.gouv.fr/bo/13/Hebdo20/MENE1311170C.htm" TargetMode="External"/><Relationship Id="rId29" Type="http://schemas.openxmlformats.org/officeDocument/2006/relationships/hyperlink" Target="https://www.legifrance.gouv.fr/codes/section_lc/LEGITEXT000006071191/LEGISCTA000018377987/" TargetMode="External"/><Relationship Id="rId11" Type="http://schemas.openxmlformats.org/officeDocument/2006/relationships/hyperlink" Target="https://www.legifrance.gouv.fr/codes/article_lc/LEGIARTI000006524831/2000-06-22" TargetMode="External"/><Relationship Id="rId24" Type="http://schemas.openxmlformats.org/officeDocument/2006/relationships/hyperlink" Target="https://www.legifrance.gouv.fr/jorf/id/JORFTEXT000051862199" TargetMode="External"/><Relationship Id="rId32" Type="http://schemas.openxmlformats.org/officeDocument/2006/relationships/hyperlink" Target="https://www.legifrance.gouv.fr/affichCode.do?idSectionTA=LEGISCTA000034095631&amp;cidTexte=LEGITEXT000006071191" TargetMode="External"/><Relationship Id="rId37" Type="http://schemas.openxmlformats.org/officeDocument/2006/relationships/hyperlink" Target="file:///\\sfer.in.adc.education.fr\MesEspacesPartages\str-dgesco-a2-2\QUALITE%20-%20LABELS\2_QUALEDUC\Outils%20Qualeduc\Guide2020_Fiches_Word\MAJ\Sixi&#232;me%20partie%20:%20La%20formation%20professionnelle%20tout%20au%20long%20de%20la%20vie%20(Articles%20L6111-1%20&#224;%20L6523-7)" TargetMode="External"/><Relationship Id="rId40" Type="http://schemas.openxmlformats.org/officeDocument/2006/relationships/hyperlink" Target="https://www.legifrance.gouv.fr/codes/section_lc/LEGITEXT000006071191/LEGISCTA000018377987/" TargetMode="External"/><Relationship Id="rId45" Type="http://schemas.openxmlformats.org/officeDocument/2006/relationships/hyperlink" Target="https://www.legifrance.gouv.fr/codes/article_lc/LEGIARTI000006524828/2000-06-22" TargetMode="External"/><Relationship Id="rId53" Type="http://schemas.openxmlformats.org/officeDocument/2006/relationships/hyperlink" Target="https://www.education.gouv.fr/bo/14/Hebdo6/MENE1401644C.htm" TargetMode="External"/><Relationship Id="rId5" Type="http://schemas.openxmlformats.org/officeDocument/2006/relationships/webSettings" Target="webSettings.xml"/><Relationship Id="rId10" Type="http://schemas.openxmlformats.org/officeDocument/2006/relationships/hyperlink" Target="https://www.legifrance.gouv.fr/codes/article_lc/LEGIARTI000006524828/2000-06-22" TargetMode="External"/><Relationship Id="rId19" Type="http://schemas.openxmlformats.org/officeDocument/2006/relationships/image" Target="media/image1.png"/><Relationship Id="rId31" Type="http://schemas.openxmlformats.org/officeDocument/2006/relationships/hyperlink" Target="https://www.legifrance.gouv.fr/affichCode.do;jsessionid=80DF2B3F491A66614ED5A650B32CB503.tpdila22v_3?idSectionTA=LEGISCTA000006166757&amp;cidTexte=LEGITEXT000006071191" TargetMode="External"/><Relationship Id="rId44" Type="http://schemas.openxmlformats.org/officeDocument/2006/relationships/hyperlink" Target="https://www.legifrance.gouv.fr/affichCode.do?idSectionTA=LEGISCTA000034095631&amp;cidTexte=LEGITEXT000006071191" TargetMode="External"/><Relationship Id="rId52" Type="http://schemas.openxmlformats.org/officeDocument/2006/relationships/hyperlink" Target="https://www.legifrance.gouv.fr/codes/section_lc/LEGITEXT000006071191/LEGISCTA000018377987/" TargetMode="External"/><Relationship Id="rId4" Type="http://schemas.openxmlformats.org/officeDocument/2006/relationships/settings" Target="settings.xml"/><Relationship Id="rId9" Type="http://schemas.openxmlformats.org/officeDocument/2006/relationships/hyperlink" Target="https://www.legifrance.gouv.fr/affichCode.do?idSectionTA=LEGISCTA000034095631&amp;cidTexte=LEGITEXT000006071191" TargetMode="External"/><Relationship Id="rId14" Type="http://schemas.openxmlformats.org/officeDocument/2006/relationships/hyperlink" Target="file:///\\sfer.in.adc.education.fr\MesEspacesPartages\str-dgesco-a2-2\QUALITE%20-%20LABELS\2_QUALEDUC\Outils%20Qualeduc\Guide2020_Fiches_Word\MAJ\Sixi&#232;me%20partie%20:%20La%20formation%20professionnelle%20tout%20au%20long%20de%20la%20vie%20(Articles%20L6111-1%20&#224;%20L6523-7)" TargetMode="External"/><Relationship Id="rId22" Type="http://schemas.openxmlformats.org/officeDocument/2006/relationships/hyperlink" Target="https://www.legifrance.gouv.fr/codes/article_lc/LEGIARTI000006524828/2000-06-22" TargetMode="External"/><Relationship Id="rId27" Type="http://schemas.openxmlformats.org/officeDocument/2006/relationships/hyperlink" Target="https://www.legifrance.gouv.fr/loda/id/JORFTEXT000024021430/" TargetMode="External"/><Relationship Id="rId30" Type="http://schemas.openxmlformats.org/officeDocument/2006/relationships/hyperlink" Target="https://www.education.gouv.fr/bo/14/Hebdo6/MENE1401644C.htm" TargetMode="External"/><Relationship Id="rId35" Type="http://schemas.openxmlformats.org/officeDocument/2006/relationships/hyperlink" Target="https://www.legifrance.gouv.fr/jorf/id/JORFTEXT000051862199" TargetMode="External"/><Relationship Id="rId43" Type="http://schemas.openxmlformats.org/officeDocument/2006/relationships/hyperlink" Target="https://www.legifrance.gouv.fr/affichCode.do;jsessionid=80DF2B3F491A66614ED5A650B32CB503.tpdila22v_3?idSectionTA=LEGISCTA000006166757&amp;cidTexte=LEGITEXT000006071191" TargetMode="External"/><Relationship Id="rId48" Type="http://schemas.openxmlformats.org/officeDocument/2006/relationships/hyperlink" Target="https://www.legifrance.gouv.fr/codes/article_lc/LEGIARTI000041444470/" TargetMode="External"/><Relationship Id="rId8" Type="http://schemas.openxmlformats.org/officeDocument/2006/relationships/hyperlink" Target="https://www.legifrance.gouv.fr/affichCode.do;jsessionid=80DF2B3F491A66614ED5A650B32CB503.tpdila22v_3?idSectionTA=LEGISCTA000006166757&amp;cidTexte=LEGITEXT000006071191" TargetMode="External"/><Relationship Id="rId51" Type="http://schemas.openxmlformats.org/officeDocument/2006/relationships/hyperlink" Target="https://www.education.gouv.fr/bo/13/Hebdo20/MENE1311170C.htm" TargetMode="External"/><Relationship Id="rId3" Type="http://schemas.openxmlformats.org/officeDocument/2006/relationships/styles" Target="styles.xml"/><Relationship Id="rId12" Type="http://schemas.openxmlformats.org/officeDocument/2006/relationships/hyperlink" Target="https://www.legifrance.gouv.fr/jorf/id/JORFTEXT000051862199" TargetMode="External"/><Relationship Id="rId17" Type="http://schemas.openxmlformats.org/officeDocument/2006/relationships/hyperlink" Target="https://www.legifrance.gouv.fr/codes/section_lc/LEGITEXT000006071191/LEGISCTA000018377987/" TargetMode="External"/><Relationship Id="rId25" Type="http://schemas.openxmlformats.org/officeDocument/2006/relationships/hyperlink" Target="https://www.legifrance.gouv.fr/codes/article_lc/LEGIARTI000041444470/" TargetMode="External"/><Relationship Id="rId33" Type="http://schemas.openxmlformats.org/officeDocument/2006/relationships/hyperlink" Target="https://www.legifrance.gouv.fr/codes/article_lc/LEGIARTI000006524828/2000-06-22" TargetMode="External"/><Relationship Id="rId38" Type="http://schemas.openxmlformats.org/officeDocument/2006/relationships/hyperlink" Target="https://www.legifrance.gouv.fr/loda/id/JORFTEXT000024021430/" TargetMode="External"/><Relationship Id="rId46" Type="http://schemas.openxmlformats.org/officeDocument/2006/relationships/hyperlink" Target="https://www.legifrance.gouv.fr/codes/article_lc/LEGIARTI000006524831/2000-06-22" TargetMode="External"/><Relationship Id="rId20" Type="http://schemas.openxmlformats.org/officeDocument/2006/relationships/hyperlink" Target="https://www.legifrance.gouv.fr/affichCode.do;jsessionid=80DF2B3F491A66614ED5A650B32CB503.tpdila22v_3?idSectionTA=LEGISCTA000006166757&amp;cidTexte=LEGITEXT000006071191" TargetMode="External"/><Relationship Id="rId41" Type="http://schemas.openxmlformats.org/officeDocument/2006/relationships/hyperlink" Target="https://www.education.gouv.fr/bo/14/Hebdo6/MENE1401644C.htm"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france.gouv.fr/loda/id/JORFTEXT000024021430/" TargetMode="External"/><Relationship Id="rId23" Type="http://schemas.openxmlformats.org/officeDocument/2006/relationships/hyperlink" Target="https://www.legifrance.gouv.fr/codes/article_lc/LEGIARTI000006524831/2000-06-22" TargetMode="External"/><Relationship Id="rId28" Type="http://schemas.openxmlformats.org/officeDocument/2006/relationships/hyperlink" Target="https://www.education.gouv.fr/bo/13/Hebdo20/MENE1311170C.htm" TargetMode="External"/><Relationship Id="rId36" Type="http://schemas.openxmlformats.org/officeDocument/2006/relationships/hyperlink" Target="https://www.legifrance.gouv.fr/codes/article_lc/LEGIARTI000041444470/" TargetMode="External"/><Relationship Id="rId49" Type="http://schemas.openxmlformats.org/officeDocument/2006/relationships/hyperlink" Target="file:///\\sfer.in.adc.education.fr\MesEspacesPartages\str-dgesco-a2-2\QUALITE%20-%20LABELS\2_QUALEDUC\Outils%20Qualeduc\Guide2020_Fiches_Word\MAJ\Sixi&#232;me%20partie%20:%20La%20formation%20professionnelle%20tout%20au%20long%20de%20la%20vie%20(Articles%20L6111-1%20&#224;%20L6523-7)"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CF2DD-176E-44D6-ADBD-59E08BA67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5</Pages>
  <Words>4222</Words>
  <Characters>23223</Characters>
  <Application>Microsoft Office Word</Application>
  <DocSecurity>0</DocSecurity>
  <Lines>193</Lines>
  <Paragraphs>54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DGESCO A22</dc:creator>
  <cp:lastModifiedBy>IUNA GUIDUCCI</cp:lastModifiedBy>
  <cp:revision>36</cp:revision>
  <dcterms:created xsi:type="dcterms:W3CDTF">2026-01-17T18:48:00Z</dcterms:created>
  <dcterms:modified xsi:type="dcterms:W3CDTF">2026-01-20T16:56:00Z</dcterms:modified>
</cp:coreProperties>
</file>