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420" w:type="dxa"/>
        <w:tblInd w:w="-874" w:type="dxa"/>
        <w:tblLayout w:type="fixed"/>
        <w:tblLook w:val="04A0" w:firstRow="1" w:lastRow="0" w:firstColumn="1" w:lastColumn="0" w:noHBand="0" w:noVBand="1"/>
      </w:tblPr>
      <w:tblGrid>
        <w:gridCol w:w="3910"/>
        <w:gridCol w:w="236"/>
        <w:gridCol w:w="8721"/>
        <w:gridCol w:w="11"/>
        <w:gridCol w:w="228"/>
        <w:gridCol w:w="10"/>
        <w:gridCol w:w="3231"/>
        <w:gridCol w:w="73"/>
      </w:tblGrid>
      <w:tr w:rsidR="00AC414F" w:rsidRPr="00401CCB" w14:paraId="75457DC7" w14:textId="77777777" w:rsidTr="00F66978">
        <w:trPr>
          <w:trHeight w:hRule="exact" w:val="964"/>
        </w:trPr>
        <w:tc>
          <w:tcPr>
            <w:tcW w:w="12867"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641EA316" w14:textId="77777777" w:rsidR="008A5493" w:rsidRPr="008A5493" w:rsidRDefault="008A5493" w:rsidP="008A5493">
            <w:pPr>
              <w:keepNext/>
              <w:keepLines/>
              <w:outlineLvl w:val="1"/>
              <w:rPr>
                <w:rFonts w:ascii="Arial" w:eastAsia="Times New Roman" w:hAnsi="Arial" w:cs="Arial"/>
                <w:b/>
                <w:bCs/>
                <w:color w:val="00B5C6"/>
                <w:sz w:val="30"/>
                <w:szCs w:val="30"/>
                <w:lang w:eastAsia="en-US"/>
              </w:rPr>
            </w:pPr>
            <w:r w:rsidRPr="008A5493">
              <w:rPr>
                <w:rFonts w:ascii="Arial" w:eastAsia="Times New Roman" w:hAnsi="Arial" w:cs="Arial"/>
                <w:b/>
                <w:bCs/>
                <w:color w:val="00B5C6"/>
                <w:sz w:val="30"/>
                <w:szCs w:val="30"/>
                <w:lang w:eastAsia="en-US"/>
              </w:rPr>
              <w:t>2.12 Piloter l’offre de formation professionnelle de l’EPLE</w:t>
            </w:r>
          </w:p>
          <w:p w14:paraId="3B0F9B2F" w14:textId="06637D6E" w:rsidR="00744498" w:rsidRPr="00744498" w:rsidRDefault="008A5493" w:rsidP="008A5493">
            <w:pPr>
              <w:pStyle w:val="Titre2"/>
              <w:numPr>
                <w:ilvl w:val="0"/>
                <w:numId w:val="0"/>
              </w:numPr>
              <w:rPr>
                <w:rFonts w:ascii="Arial" w:eastAsia="MS Mincho" w:hAnsi="Arial" w:cs="Arial"/>
                <w:b w:val="0"/>
                <w:bCs w:val="0"/>
                <w:color w:val="auto"/>
                <w:sz w:val="14"/>
                <w:szCs w:val="14"/>
                <w:lang w:val="fr-FR" w:eastAsia="ja-JP"/>
              </w:rPr>
            </w:pPr>
            <w:r w:rsidRPr="008A5493">
              <w:rPr>
                <w:rFonts w:ascii="Arial" w:eastAsia="MS Mincho" w:hAnsi="Arial" w:cs="Arial"/>
                <w:b w:val="0"/>
                <w:bCs w:val="0"/>
                <w:color w:val="auto"/>
                <w:sz w:val="14"/>
                <w:szCs w:val="14"/>
                <w:lang w:val="fr-FR" w:eastAsia="ja-JP"/>
              </w:rPr>
              <w:t xml:space="preserve">Code de l’éducation : </w:t>
            </w:r>
            <w:hyperlink r:id="rId8" w:history="1">
              <w:r w:rsidRPr="008A5493">
                <w:rPr>
                  <w:rFonts w:ascii="Arial" w:eastAsia="MS Mincho" w:hAnsi="Arial" w:cs="Arial"/>
                  <w:b w:val="0"/>
                  <w:bCs w:val="0"/>
                  <w:color w:val="0000FF"/>
                  <w:sz w:val="14"/>
                  <w:szCs w:val="14"/>
                  <w:u w:val="single"/>
                  <w:lang w:val="fr-FR" w:eastAsia="ja-JP"/>
                </w:rPr>
                <w:t>art. L.111</w:t>
              </w:r>
            </w:hyperlink>
            <w:r w:rsidRPr="008A5493">
              <w:rPr>
                <w:rFonts w:ascii="Arial" w:eastAsia="MS Mincho" w:hAnsi="Arial" w:cs="Arial"/>
                <w:b w:val="0"/>
                <w:bCs w:val="0"/>
                <w:color w:val="auto"/>
                <w:sz w:val="14"/>
                <w:szCs w:val="14"/>
                <w:lang w:val="fr-FR" w:eastAsia="ja-JP"/>
              </w:rPr>
              <w:t xml:space="preserve"> (dispositions générales), </w:t>
            </w:r>
            <w:hyperlink r:id="rId9" w:history="1">
              <w:r w:rsidRPr="008A5493">
                <w:rPr>
                  <w:rFonts w:ascii="Arial" w:eastAsia="MS Mincho" w:hAnsi="Arial" w:cs="Arial"/>
                  <w:b w:val="0"/>
                  <w:bCs w:val="0"/>
                  <w:color w:val="0000FF"/>
                  <w:sz w:val="14"/>
                  <w:szCs w:val="14"/>
                  <w:u w:val="single"/>
                  <w:lang w:val="fr-FR" w:eastAsia="ja-JP"/>
                </w:rPr>
                <w:t xml:space="preserve">art. </w:t>
              </w:r>
              <w:r w:rsidRPr="008A5493">
                <w:rPr>
                  <w:rFonts w:ascii="Arial" w:eastAsia="MS Mincho" w:hAnsi="Arial" w:cs="Arial"/>
                  <w:b w:val="0"/>
                  <w:bCs w:val="0"/>
                  <w:color w:val="0000FF"/>
                  <w:sz w:val="14"/>
                  <w:szCs w:val="14"/>
                  <w:u w:val="single"/>
                  <w:lang w:eastAsia="ja-JP"/>
                </w:rPr>
                <w:t>L. 131-1-1 et L. 131-2</w:t>
              </w:r>
            </w:hyperlink>
            <w:r w:rsidRPr="008A5493">
              <w:rPr>
                <w:rFonts w:ascii="Arial" w:eastAsia="MS Mincho" w:hAnsi="Arial" w:cs="Arial"/>
                <w:b w:val="0"/>
                <w:bCs w:val="0"/>
                <w:color w:val="auto"/>
                <w:sz w:val="14"/>
                <w:szCs w:val="14"/>
                <w:lang w:eastAsia="ja-JP"/>
              </w:rPr>
              <w:t xml:space="preserve">, </w:t>
            </w:r>
            <w:hyperlink r:id="rId10" w:history="1">
              <w:r w:rsidRPr="008A5493">
                <w:rPr>
                  <w:rFonts w:ascii="Arial" w:eastAsia="MS Mincho" w:hAnsi="Arial" w:cs="Arial"/>
                  <w:b w:val="0"/>
                  <w:bCs w:val="0"/>
                  <w:color w:val="0000FF"/>
                  <w:sz w:val="14"/>
                  <w:szCs w:val="14"/>
                  <w:u w:val="single"/>
                  <w:lang w:eastAsia="ja-JP"/>
                </w:rPr>
                <w:t>art. L. 211-2</w:t>
              </w:r>
            </w:hyperlink>
            <w:r w:rsidRPr="008A5493">
              <w:rPr>
                <w:rFonts w:ascii="Arial" w:eastAsia="MS Mincho" w:hAnsi="Arial" w:cs="Arial"/>
                <w:b w:val="0"/>
                <w:bCs w:val="0"/>
                <w:color w:val="auto"/>
                <w:sz w:val="14"/>
                <w:szCs w:val="14"/>
                <w:lang w:eastAsia="ja-JP"/>
              </w:rPr>
              <w:t xml:space="preserve">, </w:t>
            </w:r>
            <w:hyperlink r:id="rId11" w:history="1">
              <w:r w:rsidRPr="008A5493">
                <w:rPr>
                  <w:rFonts w:ascii="Arial" w:eastAsia="MS Mincho" w:hAnsi="Arial" w:cs="Arial"/>
                  <w:b w:val="0"/>
                  <w:bCs w:val="0"/>
                  <w:color w:val="0000FF"/>
                  <w:sz w:val="14"/>
                  <w:szCs w:val="14"/>
                  <w:u w:val="single"/>
                  <w:lang w:eastAsia="ja-JP"/>
                </w:rPr>
                <w:t>art. L. 214-1</w:t>
              </w:r>
            </w:hyperlink>
            <w:r w:rsidRPr="008A5493">
              <w:rPr>
                <w:rFonts w:ascii="Arial" w:eastAsia="MS Mincho" w:hAnsi="Arial" w:cs="Arial"/>
                <w:b w:val="0"/>
                <w:bCs w:val="0"/>
                <w:color w:val="auto"/>
                <w:sz w:val="14"/>
                <w:szCs w:val="14"/>
                <w:lang w:eastAsia="ja-JP"/>
              </w:rPr>
              <w:t xml:space="preserve">, </w:t>
            </w:r>
            <w:hyperlink r:id="rId12" w:history="1">
              <w:r w:rsidRPr="008A5493">
                <w:rPr>
                  <w:rFonts w:ascii="Arial" w:eastAsia="MS Mincho" w:hAnsi="Arial" w:cs="Arial"/>
                  <w:b w:val="0"/>
                  <w:bCs w:val="0"/>
                  <w:color w:val="0000FF"/>
                  <w:sz w:val="14"/>
                  <w:szCs w:val="14"/>
                  <w:u w:val="single"/>
                  <w:lang w:eastAsia="ja-JP"/>
                </w:rPr>
                <w:t>art. L. 214-13 et L.214-13-1</w:t>
              </w:r>
            </w:hyperlink>
            <w:r w:rsidRPr="008A5493">
              <w:rPr>
                <w:rFonts w:ascii="Arial" w:eastAsia="MS Mincho" w:hAnsi="Arial" w:cs="Arial"/>
                <w:b w:val="0"/>
                <w:bCs w:val="0"/>
                <w:color w:val="auto"/>
                <w:sz w:val="14"/>
                <w:szCs w:val="14"/>
                <w:lang w:eastAsia="ja-JP"/>
              </w:rPr>
              <w:t xml:space="preserve">, </w:t>
            </w:r>
            <w:hyperlink r:id="rId13" w:history="1">
              <w:r w:rsidRPr="008A5493">
                <w:rPr>
                  <w:rFonts w:ascii="Arial" w:eastAsia="MS Mincho" w:hAnsi="Arial" w:cs="Arial"/>
                  <w:b w:val="0"/>
                  <w:bCs w:val="0"/>
                  <w:color w:val="0000FF"/>
                  <w:sz w:val="14"/>
                  <w:szCs w:val="14"/>
                  <w:u w:val="single"/>
                  <w:lang w:eastAsia="ja-JP"/>
                </w:rPr>
                <w:t xml:space="preserve">art. </w:t>
              </w:r>
              <w:r w:rsidRPr="008A5493">
                <w:rPr>
                  <w:rFonts w:ascii="Arial" w:eastAsia="MS Mincho" w:hAnsi="Arial" w:cs="Arial"/>
                  <w:b w:val="0"/>
                  <w:bCs w:val="0"/>
                  <w:color w:val="0000FF"/>
                  <w:sz w:val="14"/>
                  <w:szCs w:val="14"/>
                  <w:u w:val="single"/>
                  <w:lang w:val="fr-FR" w:eastAsia="ja-JP"/>
                </w:rPr>
                <w:t>D. 331-1 à D. 331-3</w:t>
              </w:r>
            </w:hyperlink>
            <w:r w:rsidRPr="008A5493">
              <w:rPr>
                <w:rFonts w:ascii="Arial" w:eastAsia="MS Mincho" w:hAnsi="Arial" w:cs="Arial"/>
                <w:b w:val="0"/>
                <w:bCs w:val="0"/>
                <w:color w:val="auto"/>
                <w:sz w:val="14"/>
                <w:szCs w:val="14"/>
                <w:lang w:val="fr-FR" w:eastAsia="ja-JP"/>
              </w:rPr>
              <w:t xml:space="preserve"> (formation secondaire), </w:t>
            </w:r>
            <w:hyperlink r:id="rId14" w:history="1">
              <w:r w:rsidRPr="008A5493">
                <w:rPr>
                  <w:rFonts w:ascii="Arial" w:eastAsia="MS Mincho" w:hAnsi="Arial" w:cs="Arial"/>
                  <w:b w:val="0"/>
                  <w:bCs w:val="0"/>
                  <w:color w:val="0000FF"/>
                  <w:sz w:val="14"/>
                  <w:szCs w:val="14"/>
                  <w:u w:val="single"/>
                  <w:lang w:val="fr-FR" w:eastAsia="ja-JP"/>
                </w:rPr>
                <w:t>art. L. 335-4</w:t>
              </w:r>
            </w:hyperlink>
            <w:r w:rsidRPr="008A5493">
              <w:rPr>
                <w:rFonts w:ascii="Arial" w:eastAsia="MS Mincho" w:hAnsi="Arial" w:cs="Arial"/>
                <w:b w:val="0"/>
                <w:bCs w:val="0"/>
                <w:color w:val="auto"/>
                <w:sz w:val="14"/>
                <w:szCs w:val="14"/>
                <w:lang w:val="fr-FR" w:eastAsia="ja-JP"/>
              </w:rPr>
              <w:t xml:space="preserve"> (passerelles) - Code du travail : </w:t>
            </w:r>
            <w:hyperlink r:id="rId15" w:history="1">
              <w:r w:rsidRPr="008A5493">
                <w:rPr>
                  <w:rFonts w:ascii="Arial" w:eastAsia="MS Mincho" w:hAnsi="Arial" w:cs="Arial"/>
                  <w:b w:val="0"/>
                  <w:bCs w:val="0"/>
                  <w:color w:val="0000FF"/>
                  <w:sz w:val="14"/>
                  <w:szCs w:val="14"/>
                  <w:u w:val="single"/>
                  <w:lang w:val="fr-FR" w:eastAsia="ja-JP"/>
                </w:rPr>
                <w:t>art. L6123-4-1</w:t>
              </w:r>
            </w:hyperlink>
            <w:r w:rsidRPr="008A5493">
              <w:rPr>
                <w:rFonts w:ascii="Arial" w:eastAsia="MS Mincho" w:hAnsi="Arial" w:cs="Arial"/>
                <w:b w:val="0"/>
                <w:bCs w:val="0"/>
                <w:color w:val="auto"/>
                <w:sz w:val="14"/>
                <w:szCs w:val="14"/>
                <w:lang w:val="fr-FR" w:eastAsia="ja-JP"/>
              </w:rPr>
              <w:t xml:space="preserve"> (stratégie coordonnée en matière d'emploi, d'orientation et de formation professionnelles</w:t>
            </w:r>
            <w:r w:rsidRPr="008A5493">
              <w:rPr>
                <w:rFonts w:ascii="Arial" w:eastAsia="MS Mincho" w:hAnsi="Arial" w:cs="Arial"/>
                <w:bCs w:val="0"/>
                <w:color w:val="auto"/>
                <w:sz w:val="14"/>
                <w:szCs w:val="14"/>
                <w:lang w:val="fr-FR" w:eastAsia="ja-JP"/>
              </w:rPr>
              <w:t xml:space="preserve">) </w:t>
            </w:r>
            <w:r w:rsidRPr="008A5493">
              <w:rPr>
                <w:rFonts w:ascii="Arial" w:eastAsia="MS Mincho" w:hAnsi="Arial" w:cs="Arial"/>
                <w:b w:val="0"/>
                <w:bCs w:val="0"/>
                <w:color w:val="auto"/>
                <w:sz w:val="14"/>
                <w:szCs w:val="14"/>
                <w:lang w:val="fr-FR" w:eastAsia="ja-JP"/>
              </w:rPr>
              <w:t xml:space="preserve">– Loi n° 2018-771 du 5 septembre 2018 pour la liberté de choisir son avenir professionnel, </w:t>
            </w:r>
            <w:hyperlink r:id="rId16" w:history="1">
              <w:r w:rsidRPr="008A5493">
                <w:rPr>
                  <w:rFonts w:ascii="Arial" w:eastAsia="MS Mincho" w:hAnsi="Arial" w:cs="Arial"/>
                  <w:b w:val="0"/>
                  <w:bCs w:val="0"/>
                  <w:color w:val="0000FF"/>
                  <w:sz w:val="14"/>
                  <w:szCs w:val="14"/>
                  <w:u w:val="single"/>
                  <w:lang w:val="fr-FR" w:eastAsia="ja-JP"/>
                </w:rPr>
                <w:t>articles 18 à 26</w:t>
              </w:r>
            </w:hyperlink>
          </w:p>
        </w:tc>
        <w:tc>
          <w:tcPr>
            <w:tcW w:w="239" w:type="dxa"/>
            <w:gridSpan w:val="2"/>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314" w:type="dxa"/>
            <w:gridSpan w:val="3"/>
            <w:tcBorders>
              <w:top w:val="nil"/>
              <w:left w:val="nil"/>
              <w:bottom w:val="nil"/>
              <w:right w:val="nil"/>
            </w:tcBorders>
            <w:shd w:val="clear" w:color="auto" w:fill="auto"/>
            <w:vAlign w:val="center"/>
          </w:tcPr>
          <w:p w14:paraId="70C5F499" w14:textId="77777777" w:rsidR="00FC266A" w:rsidRPr="00401CCB" w:rsidRDefault="00FC266A" w:rsidP="000A6FED">
            <w:pPr>
              <w:ind w:left="-28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1B4050" w:rsidRPr="00401CCB" w14:paraId="1407D6CA" w14:textId="77777777" w:rsidTr="00F66978">
        <w:trPr>
          <w:gridAfter w:val="1"/>
          <w:wAfter w:w="73" w:type="dxa"/>
          <w:trHeight w:val="57"/>
        </w:trPr>
        <w:tc>
          <w:tcPr>
            <w:tcW w:w="3910"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8732" w:type="dxa"/>
            <w:gridSpan w:val="2"/>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8" w:type="dxa"/>
            <w:gridSpan w:val="2"/>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3231"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414254" w:rsidRPr="00401CCB" w14:paraId="07196ED3" w14:textId="77777777" w:rsidTr="00F66978">
        <w:trPr>
          <w:gridAfter w:val="1"/>
          <w:wAfter w:w="73" w:type="dxa"/>
          <w:trHeight w:hRule="exact" w:val="573"/>
        </w:trPr>
        <w:tc>
          <w:tcPr>
            <w:tcW w:w="3910"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8732" w:type="dxa"/>
            <w:gridSpan w:val="2"/>
            <w:tcBorders>
              <w:top w:val="single" w:sz="24" w:space="0" w:color="2AAC66"/>
              <w:left w:val="single" w:sz="24" w:space="0" w:color="2AAC66"/>
              <w:bottom w:val="single" w:sz="24" w:space="0" w:color="2AAC66"/>
              <w:right w:val="single" w:sz="24" w:space="0" w:color="2AAC66"/>
            </w:tcBorders>
            <w:shd w:val="pct20" w:color="2AAC66" w:fill="auto"/>
          </w:tcPr>
          <w:p w14:paraId="10A6CBA0" w14:textId="77777777" w:rsidR="00FC266A" w:rsidRPr="00401CCB" w:rsidRDefault="00FC266A" w:rsidP="00865865">
            <w:pPr>
              <w:rPr>
                <w:rFonts w:ascii="Arial" w:hAnsi="Arial" w:cs="Arial"/>
                <w:color w:val="2AAC66"/>
              </w:rPr>
            </w:pPr>
            <w:proofErr w:type="gramStart"/>
            <w:r w:rsidRPr="00AC2B5E">
              <w:rPr>
                <w:rFonts w:ascii="Arial" w:hAnsi="Arial" w:cs="Arial"/>
                <w:b/>
                <w:color w:val="2AAC66"/>
                <w:sz w:val="44"/>
                <w:szCs w:val="44"/>
              </w:rPr>
              <w:t>Do</w:t>
            </w:r>
            <w:r w:rsidRPr="00AC2B5E">
              <w:rPr>
                <w:rFonts w:ascii="Arial" w:hAnsi="Arial" w:cs="Arial"/>
                <w:b/>
                <w:color w:val="2AAC66"/>
                <w:sz w:val="24"/>
                <w:szCs w:val="24"/>
              </w:rPr>
              <w:t xml:space="preserve"> </w:t>
            </w:r>
            <w:r w:rsidRPr="00AC2B5E">
              <w:rPr>
                <w:rFonts w:ascii="Arial" w:hAnsi="Arial" w:cs="Arial"/>
                <w:b/>
                <w:color w:val="2AAC66"/>
              </w:rPr>
              <w:t xml:space="preserve"> </w:t>
            </w:r>
            <w:r w:rsidRPr="00AC2B5E">
              <w:rPr>
                <w:rFonts w:ascii="Arial" w:hAnsi="Arial" w:cs="Arial"/>
                <w:color w:val="2AAC66"/>
                <w:sz w:val="24"/>
                <w:szCs w:val="24"/>
              </w:rPr>
              <w:t>Mettre</w:t>
            </w:r>
            <w:proofErr w:type="gramEnd"/>
            <w:r w:rsidRPr="00AC2B5E">
              <w:rPr>
                <w:rFonts w:ascii="Arial" w:hAnsi="Arial" w:cs="Arial"/>
                <w:color w:val="2AAC66"/>
                <w:sz w:val="24"/>
                <w:szCs w:val="24"/>
              </w:rPr>
              <w:t xml:space="preserve"> en œuvre</w:t>
            </w:r>
          </w:p>
        </w:tc>
        <w:tc>
          <w:tcPr>
            <w:tcW w:w="238" w:type="dxa"/>
            <w:gridSpan w:val="2"/>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3231" w:type="dxa"/>
            <w:tcBorders>
              <w:top w:val="single" w:sz="24" w:space="0" w:color="EE7444"/>
              <w:left w:val="single" w:sz="24" w:space="0" w:color="EE7444"/>
              <w:bottom w:val="single" w:sz="24" w:space="0" w:color="EE7444"/>
              <w:right w:val="single" w:sz="24" w:space="0" w:color="EE7444"/>
            </w:tcBorders>
            <w:shd w:val="pct20" w:color="EE7444" w:fill="auto"/>
          </w:tcPr>
          <w:p w14:paraId="15E4D704" w14:textId="4FCCA4C9"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5F3EF7" w:rsidRPr="00401CCB">
              <w:rPr>
                <w:rFonts w:ascii="Arial" w:hAnsi="Arial" w:cs="Arial"/>
                <w:color w:val="EE7444"/>
                <w:sz w:val="24"/>
                <w:szCs w:val="24"/>
              </w:rPr>
              <w:t>Évaluer</w:t>
            </w:r>
          </w:p>
        </w:tc>
      </w:tr>
      <w:tr w:rsidR="00414254" w:rsidRPr="00401CCB" w14:paraId="179E3F19" w14:textId="77777777" w:rsidTr="00F66978">
        <w:trPr>
          <w:gridAfter w:val="1"/>
          <w:wAfter w:w="73" w:type="dxa"/>
          <w:trHeight w:hRule="exact" w:val="8504"/>
        </w:trPr>
        <w:tc>
          <w:tcPr>
            <w:tcW w:w="3910"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C3579B">
            <w:pPr>
              <w:spacing w:before="60" w:after="120"/>
              <w:ind w:left="187" w:hanging="187"/>
              <w:rPr>
                <w:rFonts w:ascii="Arial" w:hAnsi="Arial" w:cs="Arial"/>
                <w:b/>
                <w:color w:val="951B81"/>
              </w:rPr>
            </w:pPr>
            <w:r w:rsidRPr="00AC2B5E">
              <w:rPr>
                <w:rFonts w:ascii="Arial" w:hAnsi="Arial" w:cs="Arial"/>
                <w:b/>
                <w:color w:val="951B81"/>
              </w:rPr>
              <w:t>Contexte</w:t>
            </w:r>
            <w:r w:rsidRPr="00401CCB">
              <w:rPr>
                <w:rFonts w:ascii="Arial" w:hAnsi="Arial" w:cs="Arial"/>
                <w:b/>
                <w:color w:val="951B81"/>
              </w:rPr>
              <w:t>, stratégie, sens, objectifs</w:t>
            </w:r>
          </w:p>
          <w:p w14:paraId="64383B49" w14:textId="77777777" w:rsidR="008A5493" w:rsidRPr="00806C77" w:rsidRDefault="008A5493" w:rsidP="00C3579B">
            <w:pPr>
              <w:widowControl w:val="0"/>
              <w:spacing w:after="60"/>
              <w:rPr>
                <w:rFonts w:ascii="Arial" w:hAnsi="Arial" w:cs="Arial"/>
                <w:sz w:val="18"/>
                <w:szCs w:val="18"/>
              </w:rPr>
            </w:pPr>
            <w:r w:rsidRPr="00806C77">
              <w:rPr>
                <w:rFonts w:ascii="Arial" w:hAnsi="Arial" w:cs="Arial"/>
                <w:sz w:val="18"/>
                <w:szCs w:val="18"/>
              </w:rPr>
              <w:t xml:space="preserve">Par le biais de leur offre de formation, les EPLE sont des acteurs à part entière de l’orientation, de la formation et de l’insertion professionnelles pour les élèves et les apprentis. Cette offre s’appuie sur les moyens de l’établissement (RH, plateaux techniques), tout en répondant aux besoins des bassins d’emploi et aux enjeux de formation aux métiers en tension. À ce titre, elle s’insère plus largement dans la carte des formations élaborée conjointement par la région académique et la région.  </w:t>
            </w:r>
          </w:p>
          <w:p w14:paraId="5C475A2D" w14:textId="77777777" w:rsidR="008A5493" w:rsidRPr="00806C77" w:rsidRDefault="008A5493" w:rsidP="00C3579B">
            <w:pPr>
              <w:widowControl w:val="0"/>
              <w:spacing w:after="60"/>
              <w:rPr>
                <w:rFonts w:ascii="Arial" w:hAnsi="Arial" w:cs="Arial"/>
                <w:sz w:val="18"/>
                <w:szCs w:val="18"/>
              </w:rPr>
            </w:pPr>
            <w:r w:rsidRPr="00806C77">
              <w:rPr>
                <w:rFonts w:ascii="Arial" w:hAnsi="Arial" w:cs="Arial"/>
                <w:sz w:val="18"/>
                <w:szCs w:val="18"/>
              </w:rPr>
              <w:t>Ainsi, tout EPLE peut être force de proposition dans ce processus de transformation de la carte de formation initiale et ce, en cohérence avec la stratégie de région académique.</w:t>
            </w:r>
          </w:p>
          <w:p w14:paraId="385B5773" w14:textId="77777777" w:rsidR="008A5493" w:rsidRPr="00806C77" w:rsidRDefault="008A5493" w:rsidP="00C3579B">
            <w:pPr>
              <w:pStyle w:val="Paragraphedeliste"/>
              <w:widowControl w:val="0"/>
              <w:numPr>
                <w:ilvl w:val="0"/>
                <w:numId w:val="10"/>
              </w:numPr>
              <w:ind w:left="176" w:hanging="142"/>
              <w:rPr>
                <w:rFonts w:ascii="Arial" w:hAnsi="Arial" w:cs="Arial"/>
                <w:sz w:val="18"/>
                <w:szCs w:val="18"/>
              </w:rPr>
            </w:pPr>
            <w:r w:rsidRPr="00806C77">
              <w:rPr>
                <w:rFonts w:ascii="Arial" w:hAnsi="Arial" w:cs="Arial"/>
                <w:sz w:val="18"/>
                <w:szCs w:val="18"/>
              </w:rPr>
              <w:t>Comment la sécurisation des parcours, l’insertion professionnelle et la poursuite d’études sont-elles intégrées à la réflexion sur l’offre de formation de l’établissement ?</w:t>
            </w:r>
          </w:p>
          <w:p w14:paraId="2336AE39" w14:textId="77777777" w:rsidR="008A5493" w:rsidRPr="00806C77" w:rsidRDefault="008A5493" w:rsidP="00C3579B">
            <w:pPr>
              <w:pStyle w:val="Paragraphedeliste"/>
              <w:widowControl w:val="0"/>
              <w:numPr>
                <w:ilvl w:val="0"/>
                <w:numId w:val="10"/>
              </w:numPr>
              <w:ind w:left="176" w:hanging="142"/>
              <w:rPr>
                <w:rFonts w:ascii="Arial" w:hAnsi="Arial" w:cs="Arial"/>
                <w:noProof/>
                <w:sz w:val="18"/>
                <w:szCs w:val="18"/>
              </w:rPr>
            </w:pPr>
            <w:r w:rsidRPr="00806C77">
              <w:rPr>
                <w:rFonts w:ascii="Arial" w:hAnsi="Arial" w:cs="Arial"/>
                <w:sz w:val="18"/>
                <w:szCs w:val="18"/>
              </w:rPr>
              <w:t>Quels liens sont</w:t>
            </w:r>
            <w:r w:rsidRPr="00806C77">
              <w:rPr>
                <w:rFonts w:ascii="Arial" w:hAnsi="Arial" w:cs="Arial"/>
                <w:b/>
                <w:sz w:val="18"/>
                <w:szCs w:val="18"/>
              </w:rPr>
              <w:t xml:space="preserve"> </w:t>
            </w:r>
            <w:r w:rsidRPr="00806C77">
              <w:rPr>
                <w:rFonts w:ascii="Arial" w:hAnsi="Arial" w:cs="Arial"/>
                <w:sz w:val="18"/>
                <w:szCs w:val="18"/>
              </w:rPr>
              <w:t>établis entre l’offre</w:t>
            </w:r>
            <w:r w:rsidRPr="00806C77">
              <w:rPr>
                <w:rFonts w:ascii="Arial" w:hAnsi="Arial" w:cs="Arial"/>
                <w:noProof/>
                <w:sz w:val="18"/>
                <w:szCs w:val="18"/>
              </w:rPr>
              <w:t xml:space="preserve"> de formation de l’établissement </w:t>
            </w:r>
            <w:r w:rsidRPr="00806C77">
              <w:rPr>
                <w:rFonts w:ascii="Arial" w:hAnsi="Arial" w:cs="Arial"/>
                <w:sz w:val="18"/>
                <w:szCs w:val="18"/>
              </w:rPr>
              <w:t>et son projet</w:t>
            </w:r>
            <w:r w:rsidRPr="00806C77">
              <w:rPr>
                <w:rFonts w:ascii="Arial" w:hAnsi="Arial" w:cs="Arial"/>
                <w:noProof/>
                <w:sz w:val="18"/>
                <w:szCs w:val="18"/>
              </w:rPr>
              <w:t xml:space="preserve"> ? </w:t>
            </w:r>
          </w:p>
          <w:p w14:paraId="03C67336" w14:textId="77777777" w:rsidR="008A5493" w:rsidRPr="00806C77" w:rsidRDefault="008A5493" w:rsidP="00C3579B">
            <w:pPr>
              <w:pStyle w:val="Paragraphedeliste"/>
              <w:widowControl w:val="0"/>
              <w:numPr>
                <w:ilvl w:val="0"/>
                <w:numId w:val="10"/>
              </w:numPr>
              <w:ind w:left="176" w:hanging="142"/>
              <w:rPr>
                <w:rFonts w:ascii="Arial" w:hAnsi="Arial" w:cs="Arial"/>
                <w:noProof/>
                <w:sz w:val="18"/>
                <w:szCs w:val="18"/>
              </w:rPr>
            </w:pPr>
            <w:r w:rsidRPr="00806C77">
              <w:rPr>
                <w:rFonts w:ascii="Arial" w:hAnsi="Arial" w:cs="Arial"/>
                <w:sz w:val="18"/>
                <w:szCs w:val="18"/>
              </w:rPr>
              <w:t xml:space="preserve">Comment l’offre de formation de </w:t>
            </w:r>
            <w:r w:rsidRPr="00806C77">
              <w:rPr>
                <w:rFonts w:ascii="Arial" w:hAnsi="Arial" w:cs="Arial"/>
                <w:noProof/>
                <w:sz w:val="18"/>
                <w:szCs w:val="18"/>
              </w:rPr>
              <w:t xml:space="preserve">l’établissement </w:t>
            </w:r>
            <w:r w:rsidRPr="00806C77">
              <w:rPr>
                <w:rFonts w:ascii="Arial" w:hAnsi="Arial" w:cs="Arial"/>
                <w:sz w:val="18"/>
                <w:szCs w:val="18"/>
              </w:rPr>
              <w:t>conjugue-t-elle</w:t>
            </w:r>
            <w:r w:rsidRPr="00806C77">
              <w:rPr>
                <w:rFonts w:ascii="Arial" w:hAnsi="Arial" w:cs="Arial"/>
                <w:noProof/>
                <w:sz w:val="18"/>
                <w:szCs w:val="18"/>
              </w:rPr>
              <w:t xml:space="preserve"> :</w:t>
            </w:r>
          </w:p>
          <w:p w14:paraId="6F3EA26D" w14:textId="77777777" w:rsidR="008A5493" w:rsidRPr="00806C77" w:rsidRDefault="008A5493" w:rsidP="00C3579B">
            <w:pPr>
              <w:pStyle w:val="Paragraphedeliste"/>
              <w:widowControl w:val="0"/>
              <w:numPr>
                <w:ilvl w:val="0"/>
                <w:numId w:val="11"/>
              </w:numPr>
              <w:ind w:left="318" w:hanging="142"/>
              <w:rPr>
                <w:rFonts w:ascii="Arial" w:hAnsi="Arial" w:cs="Arial"/>
                <w:noProof/>
                <w:sz w:val="18"/>
                <w:szCs w:val="18"/>
              </w:rPr>
            </w:pPr>
            <w:r w:rsidRPr="00806C77">
              <w:rPr>
                <w:rFonts w:ascii="Arial" w:hAnsi="Arial" w:cs="Arial"/>
                <w:noProof/>
                <w:sz w:val="18"/>
                <w:szCs w:val="18"/>
              </w:rPr>
              <w:t xml:space="preserve">Les demandes d’orientation des familles, </w:t>
            </w:r>
          </w:p>
          <w:p w14:paraId="50EA1832" w14:textId="77777777" w:rsidR="008A5493" w:rsidRPr="00806C77" w:rsidRDefault="008A5493" w:rsidP="00C3579B">
            <w:pPr>
              <w:pStyle w:val="Paragraphedeliste"/>
              <w:widowControl w:val="0"/>
              <w:numPr>
                <w:ilvl w:val="0"/>
                <w:numId w:val="11"/>
              </w:numPr>
              <w:ind w:left="318" w:hanging="142"/>
              <w:rPr>
                <w:rFonts w:ascii="Arial" w:hAnsi="Arial" w:cs="Arial"/>
                <w:noProof/>
                <w:sz w:val="18"/>
                <w:szCs w:val="18"/>
              </w:rPr>
            </w:pPr>
            <w:r w:rsidRPr="00806C77">
              <w:rPr>
                <w:rFonts w:ascii="Arial" w:hAnsi="Arial" w:cs="Arial"/>
                <w:noProof/>
                <w:sz w:val="18"/>
                <w:szCs w:val="18"/>
              </w:rPr>
              <w:t>Les caractéristiques socio-économiques du bassin,</w:t>
            </w:r>
          </w:p>
          <w:p w14:paraId="3FAF25E2" w14:textId="77777777" w:rsidR="008A5493" w:rsidRPr="00806C77" w:rsidRDefault="008A5493" w:rsidP="00C3579B">
            <w:pPr>
              <w:pStyle w:val="Paragraphedeliste"/>
              <w:widowControl w:val="0"/>
              <w:numPr>
                <w:ilvl w:val="0"/>
                <w:numId w:val="11"/>
              </w:numPr>
              <w:ind w:left="318" w:hanging="142"/>
              <w:rPr>
                <w:rFonts w:ascii="Arial" w:hAnsi="Arial" w:cs="Arial"/>
                <w:noProof/>
                <w:sz w:val="18"/>
                <w:szCs w:val="18"/>
              </w:rPr>
            </w:pPr>
            <w:r w:rsidRPr="00806C77">
              <w:rPr>
                <w:rFonts w:ascii="Arial" w:hAnsi="Arial" w:cs="Arial"/>
                <w:noProof/>
                <w:sz w:val="18"/>
                <w:szCs w:val="18"/>
              </w:rPr>
              <w:t>Les évolutions des métiers et les perspectives d’insertion professionnelle,</w:t>
            </w:r>
          </w:p>
          <w:p w14:paraId="3D4D2246" w14:textId="77777777" w:rsidR="008A5493" w:rsidRPr="00806C77" w:rsidRDefault="008A5493" w:rsidP="00C3579B">
            <w:pPr>
              <w:pStyle w:val="Paragraphedeliste"/>
              <w:widowControl w:val="0"/>
              <w:numPr>
                <w:ilvl w:val="0"/>
                <w:numId w:val="11"/>
              </w:numPr>
              <w:ind w:left="318" w:hanging="142"/>
              <w:rPr>
                <w:rFonts w:ascii="Arial" w:hAnsi="Arial" w:cs="Arial"/>
                <w:strike/>
                <w:noProof/>
                <w:sz w:val="18"/>
                <w:szCs w:val="18"/>
              </w:rPr>
            </w:pPr>
            <w:r w:rsidRPr="00806C77">
              <w:rPr>
                <w:rFonts w:ascii="Arial" w:hAnsi="Arial" w:cs="Arial"/>
                <w:noProof/>
                <w:sz w:val="18"/>
                <w:szCs w:val="18"/>
              </w:rPr>
              <w:t xml:space="preserve">L’évolution de l’offre certificative </w:t>
            </w:r>
          </w:p>
          <w:p w14:paraId="5328A2BB" w14:textId="77777777" w:rsidR="008A5493" w:rsidRDefault="008A5493" w:rsidP="00C3579B">
            <w:pPr>
              <w:pStyle w:val="Paragraphedeliste"/>
              <w:widowControl w:val="0"/>
              <w:numPr>
                <w:ilvl w:val="0"/>
                <w:numId w:val="11"/>
              </w:numPr>
              <w:ind w:left="318" w:hanging="142"/>
              <w:rPr>
                <w:rFonts w:ascii="Arial" w:hAnsi="Arial" w:cs="Arial"/>
                <w:noProof/>
                <w:sz w:val="18"/>
                <w:szCs w:val="18"/>
              </w:rPr>
            </w:pPr>
            <w:r w:rsidRPr="00806C77">
              <w:rPr>
                <w:rFonts w:ascii="Arial" w:hAnsi="Arial" w:cs="Arial"/>
                <w:noProof/>
                <w:sz w:val="18"/>
                <w:szCs w:val="18"/>
              </w:rPr>
              <w:t xml:space="preserve">Les différentes </w:t>
            </w:r>
            <w:r w:rsidRPr="00806C77">
              <w:rPr>
                <w:rFonts w:ascii="Arial" w:hAnsi="Arial" w:cs="Arial"/>
                <w:sz w:val="18"/>
                <w:szCs w:val="18"/>
              </w:rPr>
              <w:t>voies</w:t>
            </w:r>
            <w:r w:rsidRPr="00806C77">
              <w:rPr>
                <w:rFonts w:ascii="Arial" w:hAnsi="Arial" w:cs="Arial"/>
                <w:noProof/>
                <w:sz w:val="18"/>
                <w:szCs w:val="18"/>
              </w:rPr>
              <w:t xml:space="preserve"> de formation (scolaire, apprentissage, formation continue)</w:t>
            </w:r>
          </w:p>
          <w:p w14:paraId="537505FA" w14:textId="58F7CED4" w:rsidR="00FC266A" w:rsidRPr="00F30718" w:rsidRDefault="008A5493" w:rsidP="00C3579B">
            <w:pPr>
              <w:pStyle w:val="Paragraphedeliste"/>
              <w:widowControl w:val="0"/>
              <w:numPr>
                <w:ilvl w:val="0"/>
                <w:numId w:val="12"/>
              </w:numPr>
              <w:ind w:left="176" w:hanging="118"/>
              <w:rPr>
                <w:rFonts w:ascii="Calibri" w:eastAsia="MS Mincho" w:hAnsi="Calibri" w:cs="Calibri"/>
                <w:sz w:val="18"/>
                <w:szCs w:val="18"/>
              </w:rPr>
            </w:pPr>
            <w:r w:rsidRPr="00F30718">
              <w:rPr>
                <w:rFonts w:ascii="Arial" w:hAnsi="Arial" w:cs="Arial"/>
                <w:noProof/>
                <w:sz w:val="18"/>
                <w:szCs w:val="18"/>
              </w:rPr>
              <w:t xml:space="preserve">Comment l’offre de formation s’inscrit-elle dans </w:t>
            </w:r>
            <w:r w:rsidRPr="00F30718">
              <w:rPr>
                <w:rFonts w:ascii="Arial" w:hAnsi="Arial" w:cs="Arial"/>
                <w:sz w:val="18"/>
                <w:szCs w:val="18"/>
              </w:rPr>
              <w:t>celle</w:t>
            </w:r>
            <w:r w:rsidRPr="00F30718">
              <w:rPr>
                <w:rFonts w:ascii="Arial" w:hAnsi="Arial" w:cs="Arial"/>
                <w:noProof/>
                <w:sz w:val="18"/>
                <w:szCs w:val="18"/>
              </w:rPr>
              <w:t xml:space="preserve"> d’un réseau d’acteurs (CMQ, établissements du bassin, du</w:t>
            </w:r>
            <w:r w:rsidRPr="00F30718">
              <w:rPr>
                <w:rFonts w:ascii="Arial" w:hAnsi="Arial" w:cs="Arial"/>
                <w:sz w:val="18"/>
                <w:szCs w:val="18"/>
              </w:rPr>
              <w:t xml:space="preserve"> </w:t>
            </w:r>
            <w:r w:rsidRPr="00F30718">
              <w:rPr>
                <w:rFonts w:ascii="Arial" w:hAnsi="Arial" w:cs="Arial"/>
                <w:noProof/>
                <w:sz w:val="18"/>
                <w:szCs w:val="18"/>
              </w:rPr>
              <w:t xml:space="preserve">département, </w:t>
            </w:r>
            <w:r w:rsidRPr="00F30718">
              <w:rPr>
                <w:rFonts w:ascii="Arial" w:hAnsi="Arial" w:cs="Arial"/>
                <w:sz w:val="18"/>
                <w:szCs w:val="18"/>
              </w:rPr>
              <w:t>partenaires emploi/formation…) ?</w:t>
            </w:r>
          </w:p>
        </w:tc>
        <w:tc>
          <w:tcPr>
            <w:tcW w:w="236"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8732" w:type="dxa"/>
            <w:gridSpan w:val="2"/>
            <w:tcBorders>
              <w:top w:val="single" w:sz="24" w:space="0" w:color="2AAC66"/>
              <w:left w:val="single" w:sz="24" w:space="0" w:color="2AAC66"/>
              <w:bottom w:val="single" w:sz="24" w:space="0" w:color="2AAC66"/>
              <w:right w:val="single" w:sz="24" w:space="0" w:color="2AAC66"/>
            </w:tcBorders>
          </w:tcPr>
          <w:p w14:paraId="17AA2807" w14:textId="455C7F61" w:rsidR="00FC266A" w:rsidRPr="00AC2B5E" w:rsidRDefault="00FC266A" w:rsidP="00C3579B">
            <w:pPr>
              <w:widowControl w:val="0"/>
              <w:tabs>
                <w:tab w:val="left" w:pos="323"/>
              </w:tabs>
              <w:spacing w:before="60" w:after="60"/>
              <w:ind w:right="-124"/>
              <w:rPr>
                <w:rFonts w:ascii="Arial" w:hAnsi="Arial" w:cs="Arial"/>
                <w:b/>
                <w:color w:val="2AAC66"/>
              </w:rPr>
            </w:pPr>
            <w:r w:rsidRPr="00AC2B5E">
              <w:rPr>
                <w:rFonts w:ascii="Arial" w:hAnsi="Arial" w:cs="Arial"/>
                <w:b/>
                <w:color w:val="2AAC66"/>
              </w:rPr>
              <w:t>Acteurs – Actions – Moyens – Temps</w:t>
            </w:r>
          </w:p>
          <w:p w14:paraId="5BF75BB5" w14:textId="77777777" w:rsidR="00D9588C" w:rsidRPr="00AC2B5E" w:rsidRDefault="00D9588C" w:rsidP="00C3579B">
            <w:pPr>
              <w:widowControl w:val="0"/>
              <w:tabs>
                <w:tab w:val="left" w:pos="323"/>
              </w:tabs>
              <w:ind w:right="-124"/>
              <w:rPr>
                <w:rFonts w:ascii="Arial" w:hAnsi="Arial" w:cs="Arial"/>
                <w:b/>
                <w:color w:val="2AAC66"/>
                <w:sz w:val="18"/>
                <w:szCs w:val="18"/>
              </w:rPr>
            </w:pPr>
            <w:r w:rsidRPr="00AC2B5E">
              <w:rPr>
                <w:rFonts w:ascii="Arial" w:hAnsi="Arial" w:cs="Arial"/>
                <w:b/>
                <w:color w:val="2AAC66"/>
                <w:sz w:val="18"/>
                <w:szCs w:val="18"/>
              </w:rPr>
              <w:t>Définir les acteurs et travailler avec les partenaires emploi/formation</w:t>
            </w:r>
          </w:p>
          <w:p w14:paraId="3B860AFE" w14:textId="77777777" w:rsidR="00D9588C" w:rsidRPr="009D6EB5" w:rsidRDefault="00D9588C" w:rsidP="00C3579B">
            <w:pPr>
              <w:pStyle w:val="Paragraphedeliste"/>
              <w:widowControl w:val="0"/>
              <w:numPr>
                <w:ilvl w:val="0"/>
                <w:numId w:val="10"/>
              </w:numPr>
              <w:ind w:left="351" w:right="-124" w:hanging="283"/>
              <w:rPr>
                <w:rFonts w:ascii="Arial" w:hAnsi="Arial" w:cs="Arial"/>
                <w:b/>
                <w:sz w:val="18"/>
                <w:szCs w:val="18"/>
              </w:rPr>
            </w:pPr>
            <w:r w:rsidRPr="009D6EB5">
              <w:rPr>
                <w:rFonts w:ascii="Arial" w:hAnsi="Arial" w:cs="Arial"/>
                <w:noProof/>
                <w:sz w:val="18"/>
                <w:szCs w:val="18"/>
              </w:rPr>
              <w:t>Au sein de l’établissement, quels sonts les acteurs impliqués dans la réflexion sur l’offre ? Comment et avec quel rôle ? Avec quelle coordination ? Dans quelle(s) instance(s) ?</w:t>
            </w:r>
          </w:p>
          <w:p w14:paraId="20607CC1" w14:textId="77777777" w:rsidR="00D9588C" w:rsidRPr="009D6EB5" w:rsidRDefault="00D9588C" w:rsidP="00C3579B">
            <w:pPr>
              <w:pStyle w:val="Paragraphedeliste"/>
              <w:widowControl w:val="0"/>
              <w:numPr>
                <w:ilvl w:val="0"/>
                <w:numId w:val="10"/>
              </w:numPr>
              <w:ind w:left="340" w:right="-124" w:hanging="283"/>
              <w:rPr>
                <w:rFonts w:ascii="Arial" w:hAnsi="Arial" w:cs="Arial"/>
                <w:sz w:val="18"/>
                <w:szCs w:val="18"/>
              </w:rPr>
            </w:pPr>
            <w:r w:rsidRPr="009D6EB5">
              <w:rPr>
                <w:rFonts w:ascii="Arial" w:hAnsi="Arial" w:cs="Arial"/>
                <w:sz w:val="18"/>
                <w:szCs w:val="18"/>
              </w:rPr>
              <w:t>À quels réseaux l’établissement appartient-il </w:t>
            </w:r>
            <w:r w:rsidRPr="009D6EB5">
              <w:rPr>
                <w:rFonts w:ascii="Arial" w:hAnsi="Arial" w:cs="Arial"/>
                <w:noProof/>
                <w:sz w:val="18"/>
                <w:szCs w:val="18"/>
              </w:rPr>
              <w:t xml:space="preserve">(campus des métiers et des qualifications, lycée(s) des métiers </w:t>
            </w:r>
            <w:r w:rsidRPr="009D6EB5">
              <w:rPr>
                <w:rFonts w:ascii="Arial" w:hAnsi="Arial" w:cs="Arial"/>
                <w:sz w:val="18"/>
                <w:szCs w:val="18"/>
              </w:rPr>
              <w:t>en réseau,</w:t>
            </w:r>
            <w:r w:rsidRPr="009D6EB5">
              <w:rPr>
                <w:rFonts w:ascii="Arial" w:hAnsi="Arial" w:cs="Arial"/>
                <w:noProof/>
                <w:sz w:val="18"/>
                <w:szCs w:val="18"/>
              </w:rPr>
              <w:t xml:space="preserve"> PFT, réseaux locaux interdegrés…) </w:t>
            </w:r>
            <w:r w:rsidRPr="009D6EB5">
              <w:rPr>
                <w:rFonts w:ascii="Arial" w:hAnsi="Arial" w:cs="Arial"/>
                <w:sz w:val="18"/>
                <w:szCs w:val="18"/>
              </w:rPr>
              <w:t>? Comment l’établissement travaille-t-il en réseau sur l’offre de formation, en vue de garantir à tous les élèves des parcours qui permettent l’insertion professionnelle ou la poursuite d’études ?</w:t>
            </w:r>
          </w:p>
          <w:p w14:paraId="309EC0B8" w14:textId="77777777" w:rsidR="00D9588C" w:rsidRPr="009D6EB5" w:rsidRDefault="00D9588C" w:rsidP="00C3579B">
            <w:pPr>
              <w:pStyle w:val="Paragraphedeliste"/>
              <w:widowControl w:val="0"/>
              <w:numPr>
                <w:ilvl w:val="0"/>
                <w:numId w:val="10"/>
              </w:numPr>
              <w:ind w:left="340" w:right="-124" w:hanging="283"/>
              <w:rPr>
                <w:rFonts w:ascii="Arial" w:hAnsi="Arial" w:cs="Arial"/>
                <w:b/>
                <w:sz w:val="18"/>
                <w:szCs w:val="18"/>
              </w:rPr>
            </w:pPr>
            <w:r w:rsidRPr="009D6EB5">
              <w:rPr>
                <w:rFonts w:ascii="Arial" w:hAnsi="Arial" w:cs="Arial"/>
                <w:sz w:val="18"/>
                <w:szCs w:val="18"/>
              </w:rPr>
              <w:t xml:space="preserve">Quels sont les partenaires extérieurs associés à la réflexion et selon quelles modalités ? </w:t>
            </w:r>
          </w:p>
          <w:p w14:paraId="34149C31" w14:textId="77777777" w:rsidR="00D9588C" w:rsidRPr="00AC2B5E" w:rsidRDefault="00D9588C" w:rsidP="00C3579B">
            <w:pPr>
              <w:widowControl w:val="0"/>
              <w:tabs>
                <w:tab w:val="left" w:pos="323"/>
              </w:tabs>
              <w:spacing w:before="40" w:after="40"/>
              <w:ind w:right="-124"/>
              <w:rPr>
                <w:rFonts w:ascii="Arial" w:hAnsi="Arial" w:cs="Arial"/>
                <w:b/>
                <w:color w:val="2AAC66"/>
                <w:sz w:val="18"/>
                <w:szCs w:val="18"/>
              </w:rPr>
            </w:pPr>
            <w:r w:rsidRPr="00AC2B5E">
              <w:rPr>
                <w:rFonts w:ascii="Arial" w:hAnsi="Arial" w:cs="Arial"/>
                <w:b/>
                <w:color w:val="2AAC66"/>
                <w:sz w:val="18"/>
                <w:szCs w:val="18"/>
              </w:rPr>
              <w:t>Proposer des formations adaptées aux besoins de formation et d’emploi</w:t>
            </w:r>
          </w:p>
          <w:p w14:paraId="15B8C66A" w14:textId="77777777" w:rsidR="00D9588C" w:rsidRPr="009D6EB5" w:rsidRDefault="00D9588C" w:rsidP="00C3579B">
            <w:pPr>
              <w:pStyle w:val="Paragraphedeliste"/>
              <w:widowControl w:val="0"/>
              <w:numPr>
                <w:ilvl w:val="0"/>
                <w:numId w:val="10"/>
              </w:numPr>
              <w:ind w:left="340" w:right="-124" w:hanging="283"/>
              <w:rPr>
                <w:rFonts w:ascii="Arial" w:hAnsi="Arial" w:cs="Arial"/>
                <w:sz w:val="18"/>
                <w:szCs w:val="18"/>
              </w:rPr>
            </w:pPr>
            <w:r w:rsidRPr="009D6EB5">
              <w:rPr>
                <w:rFonts w:ascii="Arial" w:hAnsi="Arial" w:cs="Arial"/>
                <w:sz w:val="18"/>
                <w:szCs w:val="18"/>
              </w:rPr>
              <w:t>Comment les besoins sont-ils repérés ? À partir de quels critères ? Selon quelles procédures ?</w:t>
            </w:r>
          </w:p>
          <w:p w14:paraId="6CA09657" w14:textId="77777777" w:rsidR="00D9588C" w:rsidRPr="009D6EB5" w:rsidRDefault="00D9588C" w:rsidP="00C3579B">
            <w:pPr>
              <w:pStyle w:val="Paragraphedeliste"/>
              <w:widowControl w:val="0"/>
              <w:numPr>
                <w:ilvl w:val="0"/>
                <w:numId w:val="10"/>
              </w:numPr>
              <w:ind w:left="340" w:right="-124" w:hanging="283"/>
              <w:rPr>
                <w:rFonts w:ascii="Arial" w:hAnsi="Arial" w:cs="Arial"/>
                <w:b/>
                <w:sz w:val="18"/>
                <w:szCs w:val="18"/>
              </w:rPr>
            </w:pPr>
            <w:r w:rsidRPr="009D6EB5">
              <w:rPr>
                <w:rFonts w:ascii="Arial" w:hAnsi="Arial" w:cs="Arial"/>
                <w:noProof/>
                <w:sz w:val="18"/>
                <w:szCs w:val="18"/>
              </w:rPr>
              <w:t>Comment l’offre de formation est-elle intégrée par l’établissement au sein d’une offre plus globale de filières ?</w:t>
            </w:r>
          </w:p>
          <w:p w14:paraId="67B46C88" w14:textId="77777777" w:rsidR="00D9588C" w:rsidRPr="009D6EB5" w:rsidRDefault="00D9588C" w:rsidP="00C3579B">
            <w:pPr>
              <w:pStyle w:val="Paragraphedeliste"/>
              <w:widowControl w:val="0"/>
              <w:numPr>
                <w:ilvl w:val="0"/>
                <w:numId w:val="10"/>
              </w:numPr>
              <w:ind w:left="340" w:right="-124" w:hanging="283"/>
              <w:rPr>
                <w:rFonts w:ascii="Arial" w:hAnsi="Arial" w:cs="Arial"/>
                <w:b/>
                <w:sz w:val="18"/>
                <w:szCs w:val="18"/>
              </w:rPr>
            </w:pPr>
            <w:r w:rsidRPr="009D6EB5">
              <w:rPr>
                <w:rFonts w:ascii="Arial" w:hAnsi="Arial" w:cs="Arial"/>
                <w:noProof/>
                <w:sz w:val="18"/>
                <w:szCs w:val="18"/>
              </w:rPr>
              <w:t>Comment l’offre de formation prend-elle en compte les objectifs du projet académique et ceux de la stratégie de région académique ?</w:t>
            </w:r>
          </w:p>
          <w:p w14:paraId="0FB49106" w14:textId="77777777" w:rsidR="00D9588C" w:rsidRPr="009D6EB5" w:rsidRDefault="00D9588C" w:rsidP="00C3579B">
            <w:pPr>
              <w:pStyle w:val="Paragraphedeliste"/>
              <w:widowControl w:val="0"/>
              <w:numPr>
                <w:ilvl w:val="0"/>
                <w:numId w:val="10"/>
              </w:numPr>
              <w:ind w:left="340" w:right="-124" w:hanging="283"/>
              <w:rPr>
                <w:rFonts w:ascii="Arial" w:hAnsi="Arial" w:cs="Arial"/>
                <w:b/>
                <w:sz w:val="18"/>
                <w:szCs w:val="18"/>
              </w:rPr>
            </w:pPr>
            <w:r w:rsidRPr="009D6EB5">
              <w:rPr>
                <w:rFonts w:ascii="Arial" w:hAnsi="Arial" w:cs="Arial"/>
                <w:noProof/>
                <w:sz w:val="18"/>
                <w:szCs w:val="18"/>
              </w:rPr>
              <w:t>Comment l’établissement mobilise-t-il les moyens d’adaptation de l’offre qui sont à sa disposition pour répondre aux besoins repérés (colorations, FCIL, évolution de l’offre, renforcement des partenariats avec d’autres établissements, développement de la mixité de parcours et de public…) ?</w:t>
            </w:r>
          </w:p>
          <w:p w14:paraId="1D2C5113" w14:textId="77777777" w:rsidR="00D9588C" w:rsidRPr="009D6EB5" w:rsidRDefault="00D9588C" w:rsidP="00C3579B">
            <w:pPr>
              <w:pStyle w:val="Paragraphedeliste"/>
              <w:widowControl w:val="0"/>
              <w:numPr>
                <w:ilvl w:val="0"/>
                <w:numId w:val="10"/>
              </w:numPr>
              <w:ind w:left="340" w:right="-124" w:hanging="283"/>
              <w:rPr>
                <w:rFonts w:ascii="Arial" w:hAnsi="Arial" w:cs="Arial"/>
                <w:b/>
                <w:sz w:val="18"/>
                <w:szCs w:val="18"/>
              </w:rPr>
            </w:pPr>
            <w:r w:rsidRPr="009D6EB5">
              <w:rPr>
                <w:rFonts w:ascii="Arial" w:hAnsi="Arial" w:cs="Arial"/>
                <w:noProof/>
                <w:sz w:val="18"/>
                <w:szCs w:val="18"/>
              </w:rPr>
              <w:t>Comment et quand ce travail est-il mis en lien avec le processus de transformation de la carte des formations initiales mené par la région académique ? A quelles étapes de ce processus l’EPLE est-il associé ?</w:t>
            </w:r>
          </w:p>
          <w:p w14:paraId="482EFABA" w14:textId="77777777" w:rsidR="00D9588C" w:rsidRPr="009D6EB5" w:rsidRDefault="00D9588C" w:rsidP="00C3579B">
            <w:pPr>
              <w:pStyle w:val="Paragraphedeliste"/>
              <w:widowControl w:val="0"/>
              <w:numPr>
                <w:ilvl w:val="0"/>
                <w:numId w:val="10"/>
              </w:numPr>
              <w:ind w:left="340" w:right="-124" w:hanging="283"/>
              <w:rPr>
                <w:rFonts w:ascii="Arial" w:hAnsi="Arial" w:cs="Arial"/>
                <w:b/>
                <w:sz w:val="18"/>
                <w:szCs w:val="18"/>
              </w:rPr>
            </w:pPr>
            <w:r w:rsidRPr="009D6EB5">
              <w:rPr>
                <w:rFonts w:ascii="Arial" w:hAnsi="Arial" w:cs="Arial"/>
                <w:noProof/>
                <w:sz w:val="18"/>
                <w:szCs w:val="18"/>
              </w:rPr>
              <w:t xml:space="preserve">Comment les partenaires sont-ils associés à la réflexion ? A quelle(s) étape(s) du processus ? </w:t>
            </w:r>
          </w:p>
          <w:p w14:paraId="4D558D95" w14:textId="77777777" w:rsidR="00D9588C" w:rsidRPr="009D6EB5" w:rsidRDefault="00D9588C" w:rsidP="00C3579B">
            <w:pPr>
              <w:pStyle w:val="Paragraphedeliste"/>
              <w:widowControl w:val="0"/>
              <w:numPr>
                <w:ilvl w:val="0"/>
                <w:numId w:val="10"/>
              </w:numPr>
              <w:ind w:left="340" w:right="-124" w:hanging="283"/>
              <w:rPr>
                <w:rFonts w:ascii="Arial" w:hAnsi="Arial" w:cs="Arial"/>
                <w:b/>
                <w:sz w:val="18"/>
                <w:szCs w:val="18"/>
              </w:rPr>
            </w:pPr>
            <w:r w:rsidRPr="009D6EB5">
              <w:rPr>
                <w:rFonts w:ascii="Arial" w:hAnsi="Arial" w:cs="Arial"/>
                <w:noProof/>
                <w:sz w:val="18"/>
                <w:szCs w:val="18"/>
              </w:rPr>
              <w:t>Comment l’établissement assure-t-il des parcours complets dans une ou plusieurs familles de métiers ?</w:t>
            </w:r>
          </w:p>
          <w:p w14:paraId="66256910" w14:textId="77777777" w:rsidR="00D9588C" w:rsidRPr="009D6EB5" w:rsidRDefault="00D9588C" w:rsidP="00C3579B">
            <w:pPr>
              <w:pStyle w:val="Paragraphedeliste"/>
              <w:widowControl w:val="0"/>
              <w:numPr>
                <w:ilvl w:val="0"/>
                <w:numId w:val="10"/>
              </w:numPr>
              <w:ind w:left="340" w:right="-124" w:hanging="283"/>
              <w:rPr>
                <w:rFonts w:ascii="Arial" w:hAnsi="Arial" w:cs="Arial"/>
                <w:b/>
                <w:sz w:val="18"/>
                <w:szCs w:val="18"/>
              </w:rPr>
            </w:pPr>
            <w:r w:rsidRPr="009D6EB5">
              <w:rPr>
                <w:rFonts w:ascii="Arial" w:hAnsi="Arial" w:cs="Arial"/>
                <w:noProof/>
                <w:sz w:val="18"/>
                <w:szCs w:val="18"/>
              </w:rPr>
              <w:t>Quelle sont les articulations entre l’offre de formation initiale scolaire, par apprentissage et de formation professionnelle  continue ?</w:t>
            </w:r>
          </w:p>
          <w:p w14:paraId="443C8625" w14:textId="77777777" w:rsidR="00D9588C" w:rsidRPr="00AC2B5E" w:rsidRDefault="00D9588C" w:rsidP="00C3579B">
            <w:pPr>
              <w:ind w:left="-8" w:right="-124"/>
              <w:rPr>
                <w:rFonts w:ascii="Arial" w:hAnsi="Arial" w:cs="Arial"/>
                <w:i/>
                <w:color w:val="2AAC66"/>
                <w:sz w:val="18"/>
                <w:szCs w:val="18"/>
              </w:rPr>
            </w:pPr>
            <w:r w:rsidRPr="00AC2B5E">
              <w:rPr>
                <w:rFonts w:ascii="Arial" w:hAnsi="Arial" w:cs="Arial"/>
                <w:i/>
                <w:color w:val="2AAC66"/>
                <w:sz w:val="18"/>
                <w:szCs w:val="18"/>
              </w:rPr>
              <w:t>Pour un questionnaire détaillé sur l’offre de formation professionnelle par apprentissage et de formation professionnelle continue des EPLE, voir les fiches 2.13 et 2.14.</w:t>
            </w:r>
          </w:p>
          <w:p w14:paraId="7B170006" w14:textId="77777777" w:rsidR="001B4050" w:rsidRPr="00AC2B5E" w:rsidRDefault="001B4050" w:rsidP="00C3579B">
            <w:pPr>
              <w:widowControl w:val="0"/>
              <w:tabs>
                <w:tab w:val="left" w:pos="323"/>
              </w:tabs>
              <w:spacing w:before="60" w:after="60"/>
              <w:ind w:right="-124"/>
              <w:rPr>
                <w:rFonts w:ascii="Arial" w:hAnsi="Arial" w:cs="Arial"/>
                <w:b/>
                <w:color w:val="2AAC66"/>
                <w:sz w:val="18"/>
                <w:szCs w:val="18"/>
              </w:rPr>
            </w:pPr>
            <w:r w:rsidRPr="00AC2B5E">
              <w:rPr>
                <w:rFonts w:ascii="Arial" w:hAnsi="Arial" w:cs="Arial"/>
                <w:b/>
                <w:color w:val="2AAC66"/>
                <w:sz w:val="18"/>
                <w:szCs w:val="18"/>
              </w:rPr>
              <w:t>Valoriser l’offre de formation et améliorer la lisibilité des parcours</w:t>
            </w:r>
          </w:p>
          <w:p w14:paraId="3C68EF60" w14:textId="77777777" w:rsidR="001B4050" w:rsidRPr="00A15E07" w:rsidRDefault="001B4050" w:rsidP="00C3579B">
            <w:pPr>
              <w:pStyle w:val="Paragraphedeliste"/>
              <w:widowControl w:val="0"/>
              <w:numPr>
                <w:ilvl w:val="0"/>
                <w:numId w:val="13"/>
              </w:numPr>
              <w:tabs>
                <w:tab w:val="left" w:pos="323"/>
              </w:tabs>
              <w:ind w:left="314" w:right="-124" w:hanging="284"/>
              <w:rPr>
                <w:rFonts w:ascii="Arial" w:hAnsi="Arial" w:cs="Arial"/>
                <w:sz w:val="18"/>
                <w:szCs w:val="18"/>
              </w:rPr>
            </w:pPr>
            <w:r w:rsidRPr="00A15E07">
              <w:rPr>
                <w:rFonts w:ascii="Arial" w:hAnsi="Arial" w:cs="Arial"/>
                <w:sz w:val="18"/>
                <w:szCs w:val="18"/>
              </w:rPr>
              <w:t xml:space="preserve">Comment la cohérence de l’offre de formation est-elle construite et mise en valeur en interne et en externe ? </w:t>
            </w:r>
          </w:p>
          <w:p w14:paraId="20B3FFD5" w14:textId="77777777" w:rsidR="001B4050" w:rsidRPr="00A15E07" w:rsidRDefault="001B4050" w:rsidP="00C3579B">
            <w:pPr>
              <w:pStyle w:val="Paragraphedeliste"/>
              <w:widowControl w:val="0"/>
              <w:numPr>
                <w:ilvl w:val="0"/>
                <w:numId w:val="13"/>
              </w:numPr>
              <w:tabs>
                <w:tab w:val="left" w:pos="323"/>
              </w:tabs>
              <w:ind w:left="314" w:right="-124" w:hanging="284"/>
              <w:rPr>
                <w:rFonts w:ascii="Arial" w:hAnsi="Arial" w:cs="Arial"/>
                <w:sz w:val="18"/>
                <w:szCs w:val="18"/>
              </w:rPr>
            </w:pPr>
            <w:r w:rsidRPr="00A15E07">
              <w:rPr>
                <w:rFonts w:ascii="Arial" w:hAnsi="Arial" w:cs="Arial"/>
                <w:sz w:val="18"/>
                <w:szCs w:val="18"/>
              </w:rPr>
              <w:t>Comment les parcours proposés par l’établissement et ses partenaires éventuels ainsi que les métiers auxquels ils mènent sont-ils valorisés auprès des familles, des collèges, des établissements dans lesquels les élèves peuvent poursuivre leurs études, des partenaires professionnels ?</w:t>
            </w:r>
          </w:p>
          <w:p w14:paraId="346A4C92" w14:textId="77777777" w:rsidR="001B4050" w:rsidRPr="00A15E07" w:rsidRDefault="001B4050" w:rsidP="00C3579B">
            <w:pPr>
              <w:pStyle w:val="Paragraphedeliste"/>
              <w:widowControl w:val="0"/>
              <w:numPr>
                <w:ilvl w:val="0"/>
                <w:numId w:val="13"/>
              </w:numPr>
              <w:tabs>
                <w:tab w:val="left" w:pos="323"/>
              </w:tabs>
              <w:ind w:left="314" w:right="-124" w:hanging="284"/>
              <w:rPr>
                <w:rFonts w:ascii="Arial" w:hAnsi="Arial" w:cs="Arial"/>
                <w:sz w:val="18"/>
                <w:szCs w:val="18"/>
              </w:rPr>
            </w:pPr>
            <w:r w:rsidRPr="00A15E07">
              <w:rPr>
                <w:rFonts w:ascii="Arial" w:hAnsi="Arial" w:cs="Arial"/>
                <w:sz w:val="18"/>
                <w:szCs w:val="18"/>
              </w:rPr>
              <w:t xml:space="preserve">En quoi la communication sur les familles de métiers permet-elle une meilleure lisibilité des parcours de formation ?  </w:t>
            </w:r>
          </w:p>
          <w:p w14:paraId="2A60663E" w14:textId="77777777" w:rsidR="006D79C1" w:rsidRDefault="001B4050" w:rsidP="00C3579B">
            <w:pPr>
              <w:pStyle w:val="Paragraphedeliste"/>
              <w:widowControl w:val="0"/>
              <w:numPr>
                <w:ilvl w:val="0"/>
                <w:numId w:val="13"/>
              </w:numPr>
              <w:tabs>
                <w:tab w:val="left" w:pos="323"/>
              </w:tabs>
              <w:ind w:left="314" w:right="-124" w:hanging="284"/>
            </w:pPr>
            <w:r w:rsidRPr="00A15E07">
              <w:rPr>
                <w:rFonts w:ascii="Arial" w:hAnsi="Arial" w:cs="Arial"/>
                <w:sz w:val="18"/>
                <w:szCs w:val="18"/>
              </w:rPr>
              <w:t>Comment les informations sur l’insertion professionnelle et les poursuites d’étude liées aux formations proposées par l’établissement sont-elles diffusées aux élèves et aux familles ?</w:t>
            </w:r>
          </w:p>
          <w:p w14:paraId="45C113DD" w14:textId="77777777" w:rsidR="004C3617" w:rsidRPr="004C3617" w:rsidRDefault="004C3617" w:rsidP="00C3579B">
            <w:pPr>
              <w:ind w:right="-124"/>
              <w:rPr>
                <w:rFonts w:ascii="Arial" w:hAnsi="Arial" w:cs="Arial"/>
                <w:sz w:val="18"/>
                <w:szCs w:val="18"/>
              </w:rPr>
            </w:pPr>
          </w:p>
          <w:p w14:paraId="4A08823D" w14:textId="77777777" w:rsidR="004C3617" w:rsidRPr="004C3617" w:rsidRDefault="004C3617" w:rsidP="00C3579B">
            <w:pPr>
              <w:ind w:right="-124"/>
              <w:rPr>
                <w:rFonts w:ascii="Arial" w:hAnsi="Arial" w:cs="Arial"/>
                <w:sz w:val="18"/>
                <w:szCs w:val="18"/>
              </w:rPr>
            </w:pPr>
          </w:p>
          <w:p w14:paraId="1A18E430" w14:textId="77777777" w:rsidR="004C3617" w:rsidRPr="004C3617" w:rsidRDefault="004C3617" w:rsidP="00C3579B">
            <w:pPr>
              <w:ind w:right="-124"/>
              <w:rPr>
                <w:rFonts w:ascii="Arial" w:hAnsi="Arial" w:cs="Arial"/>
                <w:sz w:val="18"/>
                <w:szCs w:val="18"/>
              </w:rPr>
            </w:pPr>
          </w:p>
          <w:p w14:paraId="556D56CA" w14:textId="47F6B94A" w:rsidR="004C3617" w:rsidRPr="004C3617" w:rsidRDefault="004C3617" w:rsidP="00C3579B">
            <w:pPr>
              <w:tabs>
                <w:tab w:val="left" w:pos="1117"/>
              </w:tabs>
              <w:ind w:right="-124"/>
              <w:rPr>
                <w:rFonts w:ascii="Arial" w:hAnsi="Arial" w:cs="Arial"/>
                <w:sz w:val="18"/>
                <w:szCs w:val="18"/>
              </w:rPr>
            </w:pPr>
            <w:r>
              <w:rPr>
                <w:rFonts w:ascii="Arial" w:hAnsi="Arial" w:cs="Arial"/>
                <w:sz w:val="18"/>
                <w:szCs w:val="18"/>
              </w:rPr>
              <w:tab/>
            </w:r>
          </w:p>
        </w:tc>
        <w:tc>
          <w:tcPr>
            <w:tcW w:w="238" w:type="dxa"/>
            <w:gridSpan w:val="2"/>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3231" w:type="dxa"/>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414254">
            <w:pPr>
              <w:spacing w:before="60"/>
              <w:rPr>
                <w:rFonts w:ascii="Arial" w:hAnsi="Arial" w:cs="Arial"/>
                <w:b/>
                <w:color w:val="EE7444"/>
              </w:rPr>
            </w:pPr>
            <w:r w:rsidRPr="00401CCB">
              <w:rPr>
                <w:rFonts w:ascii="Arial" w:hAnsi="Arial" w:cs="Arial"/>
                <w:b/>
                <w:color w:val="EE7444"/>
              </w:rPr>
              <w:t xml:space="preserve">Exemples d’indicateurs </w:t>
            </w:r>
          </w:p>
          <w:p w14:paraId="3C5CA21A" w14:textId="77777777" w:rsidR="004B73D9" w:rsidRPr="00401CCB" w:rsidRDefault="004B73D9" w:rsidP="00414254">
            <w:pPr>
              <w:spacing w:after="60"/>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475A54C8"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Nombre de places ouvertes et fermées par formation</w:t>
            </w:r>
          </w:p>
          <w:p w14:paraId="6F735345"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Taux de pression pour les cinq dernières années.</w:t>
            </w:r>
          </w:p>
          <w:p w14:paraId="364E7D5F"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 xml:space="preserve"> Répartition par spécialité de baccalauréat professionnel des élèves issus d’une seconde famille de métiers, nombre d’élèves changeant d’établissement</w:t>
            </w:r>
          </w:p>
          <w:p w14:paraId="7C2C705D"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Taux de réussite, taux de décrochage.</w:t>
            </w:r>
          </w:p>
          <w:p w14:paraId="4FDF8B3B"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 xml:space="preserve">Taux de poursuite d’études </w:t>
            </w:r>
          </w:p>
          <w:p w14:paraId="4DED428E"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Taux d’insertion professionnelle.</w:t>
            </w:r>
          </w:p>
          <w:p w14:paraId="221F1F8C"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Nombre d’offres de formation proposées pour les autres publics (apprentissage, formation continue).</w:t>
            </w:r>
          </w:p>
          <w:p w14:paraId="1F0A0F29"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Effectifs pour chacune des voies de formation.</w:t>
            </w:r>
          </w:p>
          <w:p w14:paraId="5FF44E71"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Nombre d’élèves ayant bénéficié d’une réorientation.</w:t>
            </w:r>
          </w:p>
          <w:p w14:paraId="3A7227E2"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Nombre et nature d’évènements organisés au sein de l’établissement</w:t>
            </w:r>
          </w:p>
          <w:p w14:paraId="4870D2FB"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Nombre et nature d’évènements auxquels l’EPLE participe et qu’il organise</w:t>
            </w:r>
          </w:p>
          <w:p w14:paraId="2B5AC4C5" w14:textId="77777777" w:rsidR="008A5493" w:rsidRPr="008A5493"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Nombre d’actions menées en direction des familles et des élèves de collège, d’autres établissements partenaires.</w:t>
            </w:r>
          </w:p>
          <w:p w14:paraId="4423D99A" w14:textId="77777777" w:rsidR="00BE65D0" w:rsidRDefault="008A5493" w:rsidP="00414254">
            <w:pPr>
              <w:widowControl w:val="0"/>
              <w:tabs>
                <w:tab w:val="left" w:pos="323"/>
              </w:tabs>
              <w:spacing w:after="30"/>
              <w:rPr>
                <w:rFonts w:ascii="Arial" w:eastAsia="MS Mincho" w:hAnsi="Arial" w:cs="Arial"/>
                <w:sz w:val="18"/>
                <w:szCs w:val="18"/>
              </w:rPr>
            </w:pPr>
            <w:r w:rsidRPr="008A5493">
              <w:rPr>
                <w:rFonts w:ascii="Arial" w:eastAsia="MS Mincho" w:hAnsi="Arial" w:cs="Arial"/>
                <w:sz w:val="18"/>
                <w:szCs w:val="18"/>
              </w:rPr>
              <w:t>Nombre et nature des actions menées par les professionnels au sein de l’EPLE</w:t>
            </w:r>
          </w:p>
          <w:p w14:paraId="2E5FC961" w14:textId="58362775" w:rsidR="00A37FFE" w:rsidRPr="005B2F4F" w:rsidRDefault="00A37FFE" w:rsidP="00414254">
            <w:pPr>
              <w:widowControl w:val="0"/>
              <w:tabs>
                <w:tab w:val="left" w:pos="323"/>
              </w:tabs>
              <w:spacing w:after="30"/>
              <w:rPr>
                <w:rFonts w:ascii="Arial" w:hAnsi="Arial" w:cs="Arial"/>
                <w:sz w:val="18"/>
                <w:szCs w:val="18"/>
              </w:rPr>
            </w:pPr>
            <w:r w:rsidRPr="005B2F4F">
              <w:rPr>
                <w:rFonts w:ascii="Arial" w:hAnsi="Arial" w:cs="Arial"/>
                <w:sz w:val="18"/>
                <w:szCs w:val="18"/>
              </w:rPr>
              <w:t>Nombre de partenaires, conventions</w:t>
            </w:r>
          </w:p>
          <w:p w14:paraId="496DE2AF" w14:textId="2078D8D8" w:rsidR="00A37FFE" w:rsidRPr="00401CCB" w:rsidRDefault="00316E2D" w:rsidP="00414254">
            <w:pPr>
              <w:widowControl w:val="0"/>
              <w:tabs>
                <w:tab w:val="left" w:pos="323"/>
              </w:tabs>
              <w:spacing w:after="40"/>
              <w:rPr>
                <w:rFonts w:ascii="Arial" w:eastAsia="MS Mincho" w:hAnsi="Arial" w:cs="Arial"/>
                <w:sz w:val="18"/>
                <w:szCs w:val="18"/>
              </w:rPr>
            </w:pPr>
            <w:r w:rsidRPr="005B2F4F">
              <w:rPr>
                <w:rFonts w:ascii="Arial" w:hAnsi="Arial" w:cs="Arial"/>
                <w:sz w:val="18"/>
                <w:szCs w:val="18"/>
              </w:rPr>
              <w:t>Nombre et nature des supports de valorisation de l’offre et des parcours en interne et en externe.</w:t>
            </w:r>
          </w:p>
        </w:tc>
      </w:tr>
    </w:tbl>
    <w:p w14:paraId="51D33BC2" w14:textId="77777777" w:rsidR="004C3617" w:rsidRPr="004C3617" w:rsidRDefault="004C3617" w:rsidP="004C3617">
      <w:pPr>
        <w:sectPr w:rsidR="004C3617" w:rsidRPr="004C3617" w:rsidSect="00625174">
          <w:footerReference w:type="default" r:id="rId18"/>
          <w:pgSz w:w="16838" w:h="11906" w:orient="landscape"/>
          <w:pgMar w:top="284" w:right="1387" w:bottom="1" w:left="1134" w:header="567" w:footer="208"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r w:rsidRPr="00401CCB">
              <w:rPr>
                <w:rFonts w:ascii="Arial" w:hAnsi="Arial" w:cs="Arial"/>
                <w:b/>
                <w:color w:val="00B5C6"/>
                <w:sz w:val="44"/>
                <w:szCs w:val="44"/>
              </w:rPr>
              <w:t>Act</w:t>
            </w:r>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865865">
            <w:pPr>
              <w:widowControl w:val="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AC2B5E">
              <w:rPr>
                <w:rFonts w:ascii="Arial" w:hAnsi="Arial" w:cs="Arial"/>
                <w:b/>
                <w:color w:val="EE7444"/>
                <w:sz w:val="24"/>
                <w:szCs w:val="24"/>
              </w:rPr>
              <w:t>Axes</w:t>
            </w:r>
            <w:r w:rsidRPr="00401CCB">
              <w:rPr>
                <w:rFonts w:ascii="Arial" w:hAnsi="Arial" w:cs="Arial"/>
                <w:b/>
                <w:color w:val="EE7444"/>
                <w:sz w:val="24"/>
                <w:szCs w:val="24"/>
              </w:rPr>
              <w:t xml:space="preserve">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100E1C79">
              <wp:simplePos x="0" y="0"/>
              <wp:positionH relativeFrom="column">
                <wp:posOffset>954786</wp:posOffset>
              </wp:positionH>
              <wp:positionV relativeFrom="paragraph">
                <wp:posOffset>75667</wp:posOffset>
              </wp:positionV>
              <wp:extent cx="2499139" cy="475488"/>
              <wp:effectExtent l="0" t="0" r="0" b="1270"/>
              <wp:wrapNone/>
              <wp:docPr id="2335" name="Zone de texte 2335"/>
              <wp:cNvGraphicFramePr/>
              <a:graphic xmlns:a="http://schemas.openxmlformats.org/drawingml/2006/main">
                <a:graphicData uri="http://schemas.microsoft.com/office/word/2010/wordprocessingShape">
                  <wps:wsp>
                    <wps:cNvSpPr txBox="1"/>
                    <wps:spPr>
                      <a:xfrm>
                        <a:off x="0" y="0"/>
                        <a:ext cx="2499139" cy="475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4965D38C"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académies </w:t>
                          </w:r>
                          <w:r w:rsidR="00496A06">
                            <w:rPr>
                              <w:rFonts w:ascii="Calibri" w:hAnsi="Calibri"/>
                              <w:b/>
                              <w:color w:val="00B5C6"/>
                              <w:sz w:val="16"/>
                              <w:szCs w:val="28"/>
                            </w:rPr>
                            <w:t>d’Amiens </w:t>
                          </w:r>
                          <w:r w:rsidRPr="001B37E2">
                            <w:rPr>
                              <w:rFonts w:ascii="Calibri" w:hAnsi="Calibri"/>
                              <w:b/>
                              <w:color w:val="00B5C6"/>
                              <w:sz w:val="16"/>
                              <w:szCs w:val="28"/>
                            </w:rPr>
                            <w:t>– Bureau Dgesco A2-</w:t>
                          </w:r>
                          <w:r w:rsidR="0004182C">
                            <w:rPr>
                              <w:rFonts w:ascii="Calibri" w:hAnsi="Calibri"/>
                              <w:b/>
                              <w:color w:val="00B5C6"/>
                              <w:sz w:val="16"/>
                              <w:szCs w:val="28"/>
                            </w:rPr>
                            <w:t>3, b</w:t>
                          </w:r>
                          <w:r w:rsidR="00621284">
                            <w:rPr>
                              <w:rFonts w:ascii="Calibri" w:hAnsi="Calibri"/>
                              <w:b/>
                              <w:color w:val="00B5C6"/>
                              <w:sz w:val="16"/>
                              <w:szCs w:val="28"/>
                            </w:rPr>
                            <w:t>ureau des diplômes professionnels</w:t>
                          </w:r>
                        </w:p>
                        <w:p w14:paraId="5DA0C5BF" w14:textId="3479BCD3"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496A06">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75.2pt;margin-top:5.95pt;width:196.8pt;height:3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" fillcolor="white [3201]" stroked="f" strokeweight=".5pt">
              <v:textbox>
                <w:txbxContent>
                  <w:p w14:paraId="2F782134" w14:textId="4965D38C"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académies </w:t>
                    </w:r>
                    <w:r w:rsidR="00496A06">
                      <w:rPr>
                        <w:rFonts w:ascii="Calibri" w:hAnsi="Calibri"/>
                        <w:b/>
                        <w:color w:val="00B5C6"/>
                        <w:sz w:val="16"/>
                        <w:szCs w:val="28"/>
                      </w:rPr>
                      <w:t>d’Amiens </w:t>
                    </w:r>
                    <w:r w:rsidRPr="001B37E2">
                      <w:rPr>
                        <w:rFonts w:ascii="Calibri" w:hAnsi="Calibri"/>
                        <w:b/>
                        <w:color w:val="00B5C6"/>
                        <w:sz w:val="16"/>
                        <w:szCs w:val="28"/>
                      </w:rPr>
                      <w:t>– Bureau Dgesco A2-</w:t>
                    </w:r>
                    <w:r w:rsidR="0004182C">
                      <w:rPr>
                        <w:rFonts w:ascii="Calibri" w:hAnsi="Calibri"/>
                        <w:b/>
                        <w:color w:val="00B5C6"/>
                        <w:sz w:val="16"/>
                        <w:szCs w:val="28"/>
                      </w:rPr>
                      <w:t>3, b</w:t>
                    </w:r>
                    <w:r w:rsidR="00621284">
                      <w:rPr>
                        <w:rFonts w:ascii="Calibri" w:hAnsi="Calibri"/>
                        <w:b/>
                        <w:color w:val="00B5C6"/>
                        <w:sz w:val="16"/>
                        <w:szCs w:val="28"/>
                      </w:rPr>
                      <w:t>ureau des diplômes professionnels</w:t>
                    </w:r>
                  </w:p>
                  <w:p w14:paraId="5DA0C5BF" w14:textId="3479BCD3"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496A06">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D5D6B2" w14:textId="09747FE2" w:rsidR="00436D64" w:rsidRPr="00436D64" w:rsidRDefault="00436D64" w:rsidP="002B1FB6">
                          <w:pPr>
                            <w:jc w:val="center"/>
                            <w:rPr>
                              <w:rFonts w:ascii="Marianne" w:hAnsi="Marianne"/>
                              <w:b/>
                              <w:color w:val="00B5C6"/>
                              <w:sz w:val="24"/>
                              <w:szCs w:val="24"/>
                            </w:rPr>
                          </w:pPr>
                          <w:r w:rsidRPr="00436D64">
                            <w:rPr>
                              <w:rFonts w:ascii="Marianne" w:hAnsi="Marianne"/>
                              <w:b/>
                              <w:color w:val="00B5C6"/>
                              <w:sz w:val="24"/>
                              <w:szCs w:val="24"/>
                            </w:rPr>
                            <w:t>2.</w:t>
                          </w:r>
                          <w:r w:rsidR="00D40C51">
                            <w:rPr>
                              <w:rFonts w:ascii="Marianne" w:hAnsi="Marianne"/>
                              <w:b/>
                              <w:color w:val="00B5C6"/>
                              <w:sz w:val="24"/>
                              <w:szCs w:val="24"/>
                            </w:rPr>
                            <w:t>1</w:t>
                          </w:r>
                          <w:r w:rsidR="0004182C">
                            <w:rPr>
                              <w:rFonts w:ascii="Marianne" w:hAnsi="Marianne"/>
                              <w:b/>
                              <w:color w:val="00B5C6"/>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79D5D6B2" w14:textId="09747FE2" w:rsidR="00436D64" w:rsidRPr="00436D64" w:rsidRDefault="00436D64" w:rsidP="002B1FB6">
                    <w:pPr>
                      <w:jc w:val="center"/>
                      <w:rPr>
                        <w:rFonts w:ascii="Marianne" w:hAnsi="Marianne"/>
                        <w:b/>
                        <w:color w:val="00B5C6"/>
                        <w:sz w:val="24"/>
                        <w:szCs w:val="24"/>
                      </w:rPr>
                    </w:pPr>
                    <w:r w:rsidRPr="00436D64">
                      <w:rPr>
                        <w:rFonts w:ascii="Marianne" w:hAnsi="Marianne"/>
                        <w:b/>
                        <w:color w:val="00B5C6"/>
                        <w:sz w:val="24"/>
                        <w:szCs w:val="24"/>
                      </w:rPr>
                      <w:t>2.</w:t>
                    </w:r>
                    <w:r w:rsidR="00D40C51">
                      <w:rPr>
                        <w:rFonts w:ascii="Marianne" w:hAnsi="Marianne"/>
                        <w:b/>
                        <w:color w:val="00B5C6"/>
                        <w:sz w:val="24"/>
                        <w:szCs w:val="24"/>
                      </w:rPr>
                      <w:t>1</w:t>
                    </w:r>
                    <w:r w:rsidR="0004182C">
                      <w:rPr>
                        <w:rFonts w:ascii="Marianne" w:hAnsi="Marianne"/>
                        <w:b/>
                        <w:color w:val="00B5C6"/>
                        <w:sz w:val="24"/>
                        <w:szCs w:val="24"/>
                      </w:rPr>
                      <w:t>2</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969EB"/>
    <w:multiLevelType w:val="hybridMultilevel"/>
    <w:tmpl w:val="509AB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0A0BC6"/>
    <w:multiLevelType w:val="hybridMultilevel"/>
    <w:tmpl w:val="DD909DA2"/>
    <w:lvl w:ilvl="0" w:tplc="45BE0EEA">
      <w:numFmt w:val="bullet"/>
      <w:lvlText w:val="-"/>
      <w:lvlJc w:val="left"/>
      <w:pPr>
        <w:ind w:left="1074" w:hanging="360"/>
      </w:pPr>
      <w:rPr>
        <w:rFonts w:ascii="Calibri" w:eastAsia="Calibri" w:hAnsi="Calibri" w:cs="Calibri"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4"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5"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6137EFF"/>
    <w:multiLevelType w:val="hybridMultilevel"/>
    <w:tmpl w:val="A85EA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D34A35"/>
    <w:multiLevelType w:val="hybridMultilevel"/>
    <w:tmpl w:val="3C307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4F4FA9"/>
    <w:multiLevelType w:val="hybridMultilevel"/>
    <w:tmpl w:val="9C563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AB46D3"/>
    <w:multiLevelType w:val="multilevel"/>
    <w:tmpl w:val="AA726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6"/>
  </w:num>
  <w:num w:numId="2" w16cid:durableId="1496527722">
    <w:abstractNumId w:val="0"/>
  </w:num>
  <w:num w:numId="3" w16cid:durableId="1942570898">
    <w:abstractNumId w:val="4"/>
  </w:num>
  <w:num w:numId="4" w16cid:durableId="8222907">
    <w:abstractNumId w:val="11"/>
  </w:num>
  <w:num w:numId="5" w16cid:durableId="2008701794">
    <w:abstractNumId w:val="5"/>
  </w:num>
  <w:num w:numId="6" w16cid:durableId="514928024">
    <w:abstractNumId w:val="2"/>
  </w:num>
  <w:num w:numId="7" w16cid:durableId="369577301">
    <w:abstractNumId w:val="12"/>
  </w:num>
  <w:num w:numId="8" w16cid:durableId="1019044905">
    <w:abstractNumId w:val="10"/>
  </w:num>
  <w:num w:numId="9" w16cid:durableId="1038550798">
    <w:abstractNumId w:val="9"/>
  </w:num>
  <w:num w:numId="10" w16cid:durableId="609818834">
    <w:abstractNumId w:val="1"/>
  </w:num>
  <w:num w:numId="11" w16cid:durableId="635456639">
    <w:abstractNumId w:val="3"/>
  </w:num>
  <w:num w:numId="12" w16cid:durableId="471483417">
    <w:abstractNumId w:val="7"/>
  </w:num>
  <w:num w:numId="13" w16cid:durableId="1018120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4182C"/>
    <w:rsid w:val="000A1EDB"/>
    <w:rsid w:val="000A6FED"/>
    <w:rsid w:val="000F1B91"/>
    <w:rsid w:val="00164144"/>
    <w:rsid w:val="00196F13"/>
    <w:rsid w:val="001B37E2"/>
    <w:rsid w:val="001B4050"/>
    <w:rsid w:val="001E1709"/>
    <w:rsid w:val="0021040A"/>
    <w:rsid w:val="002121F9"/>
    <w:rsid w:val="0026423C"/>
    <w:rsid w:val="002A5DE8"/>
    <w:rsid w:val="002B1FB6"/>
    <w:rsid w:val="002E49DE"/>
    <w:rsid w:val="00300E11"/>
    <w:rsid w:val="00316E2D"/>
    <w:rsid w:val="00336253"/>
    <w:rsid w:val="003426AD"/>
    <w:rsid w:val="003703D2"/>
    <w:rsid w:val="003A40A9"/>
    <w:rsid w:val="003B2904"/>
    <w:rsid w:val="003E1F90"/>
    <w:rsid w:val="003F19AB"/>
    <w:rsid w:val="003F3A8E"/>
    <w:rsid w:val="00401CCB"/>
    <w:rsid w:val="0040360B"/>
    <w:rsid w:val="00414254"/>
    <w:rsid w:val="00431F5D"/>
    <w:rsid w:val="00436D64"/>
    <w:rsid w:val="00464261"/>
    <w:rsid w:val="00496A06"/>
    <w:rsid w:val="004B62D6"/>
    <w:rsid w:val="004B73D9"/>
    <w:rsid w:val="004C3617"/>
    <w:rsid w:val="004C5166"/>
    <w:rsid w:val="004D64A1"/>
    <w:rsid w:val="004D6944"/>
    <w:rsid w:val="0052485B"/>
    <w:rsid w:val="00543E17"/>
    <w:rsid w:val="005B3BB5"/>
    <w:rsid w:val="005F1EB3"/>
    <w:rsid w:val="005F3EF7"/>
    <w:rsid w:val="00621284"/>
    <w:rsid w:val="00625174"/>
    <w:rsid w:val="0063223B"/>
    <w:rsid w:val="00677CAE"/>
    <w:rsid w:val="006A784C"/>
    <w:rsid w:val="006C2652"/>
    <w:rsid w:val="006D79C1"/>
    <w:rsid w:val="006E1FAD"/>
    <w:rsid w:val="00744498"/>
    <w:rsid w:val="007B5ED0"/>
    <w:rsid w:val="00830716"/>
    <w:rsid w:val="00856E3D"/>
    <w:rsid w:val="008702A8"/>
    <w:rsid w:val="008A5493"/>
    <w:rsid w:val="00905628"/>
    <w:rsid w:val="009670F2"/>
    <w:rsid w:val="00A15E07"/>
    <w:rsid w:val="00A37FFE"/>
    <w:rsid w:val="00A778CE"/>
    <w:rsid w:val="00A97672"/>
    <w:rsid w:val="00AA0CB0"/>
    <w:rsid w:val="00AA7E39"/>
    <w:rsid w:val="00AC2B5E"/>
    <w:rsid w:val="00AC414F"/>
    <w:rsid w:val="00AC6DC0"/>
    <w:rsid w:val="00B24E14"/>
    <w:rsid w:val="00B44C13"/>
    <w:rsid w:val="00B4659B"/>
    <w:rsid w:val="00B65C50"/>
    <w:rsid w:val="00B75018"/>
    <w:rsid w:val="00B8120E"/>
    <w:rsid w:val="00BE65D0"/>
    <w:rsid w:val="00C3579B"/>
    <w:rsid w:val="00CC73DE"/>
    <w:rsid w:val="00D403B1"/>
    <w:rsid w:val="00D40C51"/>
    <w:rsid w:val="00D4569F"/>
    <w:rsid w:val="00D572D2"/>
    <w:rsid w:val="00D66DCC"/>
    <w:rsid w:val="00D7761A"/>
    <w:rsid w:val="00D9588C"/>
    <w:rsid w:val="00DB3EEF"/>
    <w:rsid w:val="00E33213"/>
    <w:rsid w:val="00E478E4"/>
    <w:rsid w:val="00E67071"/>
    <w:rsid w:val="00E96609"/>
    <w:rsid w:val="00EA060D"/>
    <w:rsid w:val="00ED4199"/>
    <w:rsid w:val="00F30718"/>
    <w:rsid w:val="00F442CD"/>
    <w:rsid w:val="00F66978"/>
    <w:rsid w:val="00F70AC2"/>
    <w:rsid w:val="00FB0D15"/>
    <w:rsid w:val="00FB5AEE"/>
    <w:rsid w:val="00FC266A"/>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C0"/>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2642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styleId="Lienhypertexte">
    <w:name w:val="Hyperlink"/>
    <w:basedOn w:val="Policepardfaut"/>
    <w:uiPriority w:val="99"/>
    <w:unhideWhenUsed/>
    <w:rsid w:val="005F3EF7"/>
    <w:rPr>
      <w:color w:val="0000FF" w:themeColor="hyperlink"/>
      <w:u w:val="single"/>
    </w:rPr>
  </w:style>
  <w:style w:type="character" w:styleId="Mentionnonrsolue">
    <w:name w:val="Unresolved Mention"/>
    <w:basedOn w:val="Policepardfaut"/>
    <w:uiPriority w:val="99"/>
    <w:semiHidden/>
    <w:unhideWhenUsed/>
    <w:rsid w:val="005F3EF7"/>
    <w:rPr>
      <w:color w:val="605E5C"/>
      <w:shd w:val="clear" w:color="auto" w:fill="E1DFDD"/>
    </w:rPr>
  </w:style>
  <w:style w:type="character" w:customStyle="1" w:styleId="Titre1Car">
    <w:name w:val="Titre 1 Car"/>
    <w:basedOn w:val="Policepardfaut"/>
    <w:link w:val="Titre1"/>
    <w:uiPriority w:val="9"/>
    <w:rsid w:val="0026423C"/>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0401">
      <w:bodyDiv w:val="1"/>
      <w:marLeft w:val="0"/>
      <w:marRight w:val="0"/>
      <w:marTop w:val="0"/>
      <w:marBottom w:val="0"/>
      <w:divBdr>
        <w:top w:val="none" w:sz="0" w:space="0" w:color="auto"/>
        <w:left w:val="none" w:sz="0" w:space="0" w:color="auto"/>
        <w:bottom w:val="none" w:sz="0" w:space="0" w:color="auto"/>
        <w:right w:val="none" w:sz="0" w:space="0" w:color="auto"/>
      </w:divBdr>
    </w:div>
    <w:div w:id="690764990">
      <w:bodyDiv w:val="1"/>
      <w:marLeft w:val="0"/>
      <w:marRight w:val="0"/>
      <w:marTop w:val="0"/>
      <w:marBottom w:val="0"/>
      <w:divBdr>
        <w:top w:val="none" w:sz="0" w:space="0" w:color="auto"/>
        <w:left w:val="none" w:sz="0" w:space="0" w:color="auto"/>
        <w:bottom w:val="none" w:sz="0" w:space="0" w:color="auto"/>
        <w:right w:val="none" w:sz="0" w:space="0" w:color="auto"/>
      </w:divBdr>
    </w:div>
    <w:div w:id="744108261">
      <w:bodyDiv w:val="1"/>
      <w:marLeft w:val="0"/>
      <w:marRight w:val="0"/>
      <w:marTop w:val="0"/>
      <w:marBottom w:val="0"/>
      <w:divBdr>
        <w:top w:val="none" w:sz="0" w:space="0" w:color="auto"/>
        <w:left w:val="none" w:sz="0" w:space="0" w:color="auto"/>
        <w:bottom w:val="none" w:sz="0" w:space="0" w:color="auto"/>
        <w:right w:val="none" w:sz="0" w:space="0" w:color="auto"/>
      </w:divBdr>
    </w:div>
    <w:div w:id="892697677">
      <w:bodyDiv w:val="1"/>
      <w:marLeft w:val="0"/>
      <w:marRight w:val="0"/>
      <w:marTop w:val="0"/>
      <w:marBottom w:val="0"/>
      <w:divBdr>
        <w:top w:val="none" w:sz="0" w:space="0" w:color="auto"/>
        <w:left w:val="none" w:sz="0" w:space="0" w:color="auto"/>
        <w:bottom w:val="none" w:sz="0" w:space="0" w:color="auto"/>
        <w:right w:val="none" w:sz="0" w:space="0" w:color="auto"/>
      </w:divBdr>
    </w:div>
    <w:div w:id="910579958">
      <w:bodyDiv w:val="1"/>
      <w:marLeft w:val="0"/>
      <w:marRight w:val="0"/>
      <w:marTop w:val="0"/>
      <w:marBottom w:val="0"/>
      <w:divBdr>
        <w:top w:val="none" w:sz="0" w:space="0" w:color="auto"/>
        <w:left w:val="none" w:sz="0" w:space="0" w:color="auto"/>
        <w:bottom w:val="none" w:sz="0" w:space="0" w:color="auto"/>
        <w:right w:val="none" w:sz="0" w:space="0" w:color="auto"/>
      </w:divBdr>
    </w:div>
    <w:div w:id="943999678">
      <w:bodyDiv w:val="1"/>
      <w:marLeft w:val="0"/>
      <w:marRight w:val="0"/>
      <w:marTop w:val="0"/>
      <w:marBottom w:val="0"/>
      <w:divBdr>
        <w:top w:val="none" w:sz="0" w:space="0" w:color="auto"/>
        <w:left w:val="none" w:sz="0" w:space="0" w:color="auto"/>
        <w:bottom w:val="none" w:sz="0" w:space="0" w:color="auto"/>
        <w:right w:val="none" w:sz="0" w:space="0" w:color="auto"/>
      </w:divBdr>
    </w:div>
    <w:div w:id="1044476288">
      <w:bodyDiv w:val="1"/>
      <w:marLeft w:val="0"/>
      <w:marRight w:val="0"/>
      <w:marTop w:val="0"/>
      <w:marBottom w:val="0"/>
      <w:divBdr>
        <w:top w:val="none" w:sz="0" w:space="0" w:color="auto"/>
        <w:left w:val="none" w:sz="0" w:space="0" w:color="auto"/>
        <w:bottom w:val="none" w:sz="0" w:space="0" w:color="auto"/>
        <w:right w:val="none" w:sz="0" w:space="0" w:color="auto"/>
      </w:divBdr>
    </w:div>
    <w:div w:id="1252396531">
      <w:bodyDiv w:val="1"/>
      <w:marLeft w:val="0"/>
      <w:marRight w:val="0"/>
      <w:marTop w:val="0"/>
      <w:marBottom w:val="0"/>
      <w:divBdr>
        <w:top w:val="none" w:sz="0" w:space="0" w:color="auto"/>
        <w:left w:val="none" w:sz="0" w:space="0" w:color="auto"/>
        <w:bottom w:val="none" w:sz="0" w:space="0" w:color="auto"/>
        <w:right w:val="none" w:sz="0" w:space="0" w:color="auto"/>
      </w:divBdr>
    </w:div>
    <w:div w:id="1539274638">
      <w:bodyDiv w:val="1"/>
      <w:marLeft w:val="0"/>
      <w:marRight w:val="0"/>
      <w:marTop w:val="0"/>
      <w:marBottom w:val="0"/>
      <w:divBdr>
        <w:top w:val="none" w:sz="0" w:space="0" w:color="auto"/>
        <w:left w:val="none" w:sz="0" w:space="0" w:color="auto"/>
        <w:bottom w:val="none" w:sz="0" w:space="0" w:color="auto"/>
        <w:right w:val="none" w:sz="0" w:space="0" w:color="auto"/>
      </w:divBdr>
    </w:div>
    <w:div w:id="19362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jsessionid=547BC46B97F2616E7C589D3B3C5BB78A.tpdila22v_3?idSectionTA=LEGISCTA000006166558&amp;cidTexte=LEGITEXT000006071191" TargetMode="External"/><Relationship Id="rId13" Type="http://schemas.openxmlformats.org/officeDocument/2006/relationships/hyperlink" Target="https://www.legifrance.gouv.fr/affichCode.do?idArticle=LEGIARTI000006527093&amp;idSectionTA=LEGISCTA000006166850&amp;cidTexte=LEGITEXT00000607119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do;jsessionid=60A919A493820C9EA043533B250AB164.tpdila08v_3?idSectionTA=LEGISCTA000028698934&amp;cidTexte=LEGITEXT000006071191"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legifrance.gouv.fr/affichTexte.do?cidTexte=JORFTEXT000037367660&amp;dateTexte=201809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idArticle=LEGIARTI000027574838&amp;cidTexte=LEGITEXT000006071191" TargetMode="External"/><Relationship Id="rId5" Type="http://schemas.openxmlformats.org/officeDocument/2006/relationships/webSettings" Target="webSettings.xml"/><Relationship Id="rId15" Type="http://schemas.openxmlformats.org/officeDocument/2006/relationships/hyperlink" Target="https://www.legifrance.gouv.fr/affichCodeArticle.do?idArticle=LEGIARTI000031000102&amp;cidTexte=LEGITEXT000006072050" TargetMode="External"/><Relationship Id="rId10" Type="http://schemas.openxmlformats.org/officeDocument/2006/relationships/hyperlink" Target="https://www.legifrance.gouv.fr/affichCodeArticle.do?idArticle=LEGIARTI000028698948&amp;cidTexte=LEGITEXT00000607119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Code.do;jsessionid=8529FFCF2A54871EFD7FB839ABAC1BD6.tpdila22v_3?idSectionTA=LEGISCTA000006166564&amp;cidTexte=LEGITEXT000006071191" TargetMode="External"/><Relationship Id="rId14" Type="http://schemas.openxmlformats.org/officeDocument/2006/relationships/hyperlink" Target="https://www.legifrance.gouv.fr/affichCodeArticle.do?idArticle=LEGIARTI000006524827&amp;cidTexte=LEGITEXT0000060711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1168</Words>
  <Characters>6425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AGNES MILLER</cp:lastModifiedBy>
  <cp:revision>21</cp:revision>
  <dcterms:created xsi:type="dcterms:W3CDTF">2026-01-18T14:31:00Z</dcterms:created>
  <dcterms:modified xsi:type="dcterms:W3CDTF">2026-01-29T15:54:00Z</dcterms:modified>
</cp:coreProperties>
</file>