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2"/>
        <w:tblW w:w="16753" w:type="dxa"/>
        <w:tblInd w:w="-874" w:type="dxa"/>
        <w:tblLayout w:type="fixed"/>
        <w:tblLook w:val="04A0" w:firstRow="1" w:lastRow="0" w:firstColumn="1" w:lastColumn="0" w:noHBand="0" w:noVBand="1"/>
      </w:tblPr>
      <w:tblGrid>
        <w:gridCol w:w="3628"/>
        <w:gridCol w:w="236"/>
        <w:gridCol w:w="9629"/>
        <w:gridCol w:w="65"/>
        <w:gridCol w:w="218"/>
        <w:gridCol w:w="18"/>
        <w:gridCol w:w="2494"/>
        <w:gridCol w:w="465"/>
      </w:tblGrid>
      <w:tr w:rsidR="00494BCF" w:rsidRPr="00401CCB" w14:paraId="75457DC7" w14:textId="77777777" w:rsidTr="009D0201">
        <w:trPr>
          <w:trHeight w:hRule="exact" w:val="1304"/>
        </w:trPr>
        <w:tc>
          <w:tcPr>
            <w:tcW w:w="13493" w:type="dxa"/>
            <w:gridSpan w:val="3"/>
            <w:tcBorders>
              <w:top w:val="single" w:sz="18" w:space="0" w:color="00B5C6"/>
              <w:left w:val="single" w:sz="18" w:space="0" w:color="00B5C6"/>
              <w:bottom w:val="single" w:sz="18" w:space="0" w:color="00B5C6"/>
              <w:right w:val="single" w:sz="18" w:space="0" w:color="00B5C6"/>
            </w:tcBorders>
            <w:shd w:val="clear" w:color="auto" w:fill="auto"/>
          </w:tcPr>
          <w:p w14:paraId="2752B5AB" w14:textId="2241A093" w:rsidR="00FC266A" w:rsidRPr="00FD13A8" w:rsidRDefault="009E77A4" w:rsidP="00127EA9">
            <w:pPr>
              <w:pStyle w:val="Titre2"/>
              <w:numPr>
                <w:ilvl w:val="0"/>
                <w:numId w:val="0"/>
              </w:numPr>
              <w:spacing w:before="0"/>
              <w:rPr>
                <w:rFonts w:eastAsia="Calibri"/>
                <w:sz w:val="36"/>
                <w:lang w:val="fr-FR"/>
              </w:rPr>
            </w:pPr>
            <w:r w:rsidRPr="00FD13A8">
              <w:rPr>
                <w:rFonts w:eastAsia="Calibri"/>
                <w:sz w:val="36"/>
                <w:lang w:val="fr-FR"/>
              </w:rPr>
              <w:t>2.1</w:t>
            </w:r>
            <w:r w:rsidR="005C5483" w:rsidRPr="00FD13A8">
              <w:rPr>
                <w:rFonts w:eastAsia="Calibri"/>
                <w:sz w:val="36"/>
                <w:lang w:val="fr-FR"/>
              </w:rPr>
              <w:t>1</w:t>
            </w:r>
            <w:r w:rsidR="00863C62" w:rsidRPr="00FD13A8">
              <w:rPr>
                <w:rFonts w:eastAsia="Calibri"/>
                <w:sz w:val="36"/>
                <w:lang w:val="fr-FR"/>
              </w:rPr>
              <w:t xml:space="preserve"> </w:t>
            </w:r>
            <w:r w:rsidR="005C5483" w:rsidRPr="00FD13A8">
              <w:rPr>
                <w:rFonts w:eastAsia="Calibri"/>
                <w:sz w:val="36"/>
                <w:lang w:val="fr-FR"/>
              </w:rPr>
              <w:t>Prévenir le décrochage scolaire</w:t>
            </w:r>
          </w:p>
          <w:p w14:paraId="2C619D40" w14:textId="77777777" w:rsidR="005C5483" w:rsidRPr="007C3A4C" w:rsidRDefault="005C5483" w:rsidP="005C5483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C3A4C">
              <w:rPr>
                <w:rFonts w:ascii="Arial" w:hAnsi="Arial" w:cs="Arial"/>
                <w:sz w:val="14"/>
                <w:szCs w:val="14"/>
              </w:rPr>
              <w:t xml:space="preserve">Code de l’éducation : </w:t>
            </w:r>
            <w:hyperlink r:id="rId8" w:history="1">
              <w:r w:rsidRPr="007C3A4C">
                <w:rPr>
                  <w:rStyle w:val="Lienhypertexte"/>
                  <w:rFonts w:ascii="Arial" w:hAnsi="Arial" w:cs="Arial"/>
                  <w:bCs/>
                  <w:sz w:val="14"/>
                  <w:szCs w:val="14"/>
                </w:rPr>
                <w:t>art. L.114-1</w:t>
              </w:r>
            </w:hyperlink>
            <w:r w:rsidRPr="007C3A4C">
              <w:rPr>
                <w:rFonts w:ascii="Arial" w:hAnsi="Arial" w:cs="Arial"/>
                <w:bCs/>
                <w:sz w:val="14"/>
                <w:szCs w:val="14"/>
              </w:rPr>
              <w:t xml:space="preserve"> (obligation de formation)</w:t>
            </w:r>
            <w:r w:rsidRPr="007C3A4C">
              <w:rPr>
                <w:rFonts w:ascii="Arial" w:hAnsi="Arial" w:cs="Arial"/>
                <w:sz w:val="14"/>
                <w:szCs w:val="14"/>
              </w:rPr>
              <w:t xml:space="preserve"> </w:t>
            </w:r>
            <w:hyperlink r:id="rId9" w:history="1">
              <w:r w:rsidRPr="007C3A4C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art. L. 122-2 à L. 122-4</w:t>
              </w:r>
            </w:hyperlink>
            <w:r w:rsidRPr="007C3A4C">
              <w:rPr>
                <w:rFonts w:ascii="Arial" w:hAnsi="Arial" w:cs="Arial"/>
                <w:sz w:val="14"/>
                <w:szCs w:val="14"/>
                <w:u w:val="single"/>
              </w:rPr>
              <w:t xml:space="preserve"> </w:t>
            </w:r>
            <w:r w:rsidRPr="007C3A4C">
              <w:rPr>
                <w:rFonts w:ascii="Arial" w:hAnsi="Arial" w:cs="Arial"/>
                <w:sz w:val="14"/>
                <w:szCs w:val="14"/>
              </w:rPr>
              <w:t xml:space="preserve">(droit au retour en formation initiale), </w:t>
            </w:r>
            <w:hyperlink r:id="rId10" w:history="1">
              <w:r w:rsidRPr="007C3A4C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art. R. 131-7</w:t>
              </w:r>
            </w:hyperlink>
            <w:r w:rsidRPr="007C3A4C">
              <w:rPr>
                <w:rFonts w:ascii="Arial" w:hAnsi="Arial" w:cs="Arial"/>
                <w:sz w:val="14"/>
                <w:szCs w:val="14"/>
              </w:rPr>
              <w:t xml:space="preserve"> (absentéisme), </w:t>
            </w:r>
            <w:hyperlink r:id="rId11" w:history="1">
              <w:r w:rsidRPr="007C3A4C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art. L. 214-12</w:t>
              </w:r>
            </w:hyperlink>
            <w:r w:rsidRPr="007C3A4C">
              <w:rPr>
                <w:rFonts w:ascii="Arial" w:hAnsi="Arial" w:cs="Arial"/>
                <w:sz w:val="14"/>
                <w:szCs w:val="14"/>
              </w:rPr>
              <w:t xml:space="preserve">,  </w:t>
            </w:r>
            <w:hyperlink r:id="rId12" w:history="1">
              <w:r w:rsidRPr="007C3A4C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art. R. 222-3-2</w:t>
              </w:r>
            </w:hyperlink>
            <w:r w:rsidRPr="007C3A4C">
              <w:rPr>
                <w:rFonts w:ascii="Arial" w:hAnsi="Arial" w:cs="Arial"/>
                <w:sz w:val="14"/>
                <w:szCs w:val="14"/>
              </w:rPr>
              <w:t xml:space="preserve"> (décrochage), </w:t>
            </w:r>
            <w:hyperlink r:id="rId13" w:history="1">
              <w:r w:rsidRPr="007C3A4C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art. L. 313-7 et L. 313-8</w:t>
              </w:r>
            </w:hyperlink>
            <w:r w:rsidRPr="007C3A4C">
              <w:rPr>
                <w:rFonts w:ascii="Arial" w:hAnsi="Arial" w:cs="Arial"/>
                <w:sz w:val="14"/>
                <w:szCs w:val="14"/>
              </w:rPr>
              <w:t xml:space="preserve"> (reprise d’études) - Instruction </w:t>
            </w:r>
            <w:hyperlink r:id="rId14" w:history="1">
              <w:r w:rsidRPr="007C3A4C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 xml:space="preserve">n° 09-060 JS du 22-4-2009 </w:t>
              </w:r>
            </w:hyperlink>
            <w:r w:rsidRPr="007C3A4C">
              <w:rPr>
                <w:rFonts w:ascii="Arial" w:hAnsi="Arial" w:cs="Arial"/>
                <w:sz w:val="14"/>
                <w:szCs w:val="14"/>
              </w:rPr>
              <w:t>(prévention du décrochage scolaire et accompagnement des jeunes sortant sans diplôme du système scolaire)</w:t>
            </w:r>
            <w:r w:rsidRPr="007C3A4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  <w:p w14:paraId="44263C44" w14:textId="37DA62B6" w:rsidR="009E77A4" w:rsidRPr="009E77A4" w:rsidRDefault="005C5483" w:rsidP="005C5483">
            <w:pPr>
              <w:pStyle w:val="Sansinterligne"/>
              <w:rPr>
                <w:lang w:eastAsia="en-US"/>
              </w:rPr>
            </w:pPr>
            <w:r w:rsidRPr="007C3A4C">
              <w:rPr>
                <w:rFonts w:ascii="Arial" w:hAnsi="Arial" w:cs="Arial"/>
                <w:sz w:val="14"/>
                <w:szCs w:val="14"/>
              </w:rPr>
              <w:t xml:space="preserve">Circulaires : </w:t>
            </w:r>
            <w:hyperlink r:id="rId15" w:history="1">
              <w:r w:rsidRPr="007C3A4C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n° 2011-028 du 9-2-2011</w:t>
              </w:r>
            </w:hyperlink>
            <w:r w:rsidRPr="007C3A4C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7C3A4C">
              <w:rPr>
                <w:rFonts w:ascii="Arial" w:hAnsi="Arial" w:cs="Arial"/>
                <w:bCs/>
                <w:sz w:val="14"/>
                <w:szCs w:val="14"/>
              </w:rPr>
              <w:t>mise en œuvre des articles L. 313-7 et L. 313-8 du code de l'Éducation),</w:t>
            </w:r>
            <w:r w:rsidRPr="007C3A4C">
              <w:rPr>
                <w:rFonts w:ascii="Arial" w:hAnsi="Arial" w:cs="Arial"/>
                <w:sz w:val="14"/>
                <w:szCs w:val="14"/>
              </w:rPr>
              <w:t xml:space="preserve"> </w:t>
            </w:r>
            <w:hyperlink r:id="rId16" w:history="1">
              <w:r w:rsidRPr="007C3A4C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n°2013-035 du 29-3-2013</w:t>
              </w:r>
            </w:hyperlink>
            <w:r w:rsidRPr="007C3A4C">
              <w:rPr>
                <w:rFonts w:ascii="Arial" w:hAnsi="Arial" w:cs="Arial"/>
                <w:sz w:val="14"/>
                <w:szCs w:val="14"/>
              </w:rPr>
              <w:t xml:space="preserve"> (r</w:t>
            </w:r>
            <w:r w:rsidRPr="007C3A4C">
              <w:rPr>
                <w:rFonts w:ascii="Arial" w:hAnsi="Arial" w:cs="Arial"/>
                <w:bCs/>
                <w:sz w:val="14"/>
                <w:szCs w:val="14"/>
              </w:rPr>
              <w:t xml:space="preserve">éseaux Formation Qualification Emploi FOQUALE), </w:t>
            </w:r>
            <w:hyperlink r:id="rId17" w:history="1">
              <w:r w:rsidRPr="007C3A4C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n° 2014-159 du 24-12-2014</w:t>
              </w:r>
            </w:hyperlink>
            <w:r w:rsidRPr="007C3A4C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7C3A4C">
              <w:rPr>
                <w:rFonts w:ascii="Arial" w:hAnsi="Arial" w:cs="Arial"/>
                <w:bCs/>
                <w:sz w:val="14"/>
                <w:szCs w:val="14"/>
              </w:rPr>
              <w:t xml:space="preserve">prévention de l'absentéisme scolaire), </w:t>
            </w:r>
            <w:hyperlink r:id="rId18" w:history="1">
              <w:r w:rsidRPr="007C3A4C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 xml:space="preserve">n° 2015-041 du 20-3-2015 </w:t>
              </w:r>
            </w:hyperlink>
            <w:r w:rsidRPr="007C3A4C">
              <w:rPr>
                <w:rFonts w:ascii="Arial" w:hAnsi="Arial" w:cs="Arial"/>
                <w:sz w:val="14"/>
                <w:szCs w:val="14"/>
              </w:rPr>
              <w:t xml:space="preserve">(droit au retour en formation initiale pour les sortants du système éducatif sans diplôme ou qualification professionnelle), </w:t>
            </w:r>
            <w:hyperlink r:id="rId19" w:history="1">
              <w:r w:rsidRPr="007C3A4C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n° 2017-066 du 12-4-2017</w:t>
              </w:r>
            </w:hyperlink>
            <w:r w:rsidRPr="007C3A4C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7C3A4C">
              <w:rPr>
                <w:rFonts w:ascii="Arial" w:hAnsi="Arial" w:cs="Arial"/>
                <w:bCs/>
                <w:sz w:val="14"/>
                <w:szCs w:val="14"/>
              </w:rPr>
              <w:t>mobilisation du droit au retour en formation et le maintien en formation au service de la lutte contre le décrochage scolaire) –</w:t>
            </w:r>
            <w:r w:rsidRPr="007C3A4C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 </w:t>
            </w:r>
            <w:hyperlink r:id="rId20" w:history="1">
              <w:r w:rsidRPr="007C3A4C">
                <w:rPr>
                  <w:rStyle w:val="Lienhypertexte"/>
                  <w:rFonts w:ascii="Arial" w:hAnsi="Arial" w:cs="Arial"/>
                  <w:bCs/>
                  <w:sz w:val="14"/>
                  <w:szCs w:val="14"/>
                </w:rPr>
                <w:t>Circulaire du 18-07-2023</w:t>
              </w:r>
            </w:hyperlink>
            <w:r w:rsidRPr="007C3A4C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 </w:t>
            </w:r>
            <w:r w:rsidRPr="007C3A4C">
              <w:rPr>
                <w:rFonts w:ascii="Arial" w:hAnsi="Arial" w:cs="Arial"/>
                <w:bCs/>
                <w:sz w:val="14"/>
                <w:szCs w:val="14"/>
              </w:rPr>
              <w:t>(Tous droits ouverts)</w:t>
            </w:r>
          </w:p>
          <w:p w14:paraId="3B0F9B2F" w14:textId="0CC7707E" w:rsidR="00127EA9" w:rsidRPr="00127EA9" w:rsidRDefault="00127EA9" w:rsidP="009E77A4">
            <w:pPr>
              <w:contextualSpacing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18" w:space="0" w:color="00B5C6"/>
              <w:bottom w:val="nil"/>
              <w:right w:val="nil"/>
            </w:tcBorders>
            <w:shd w:val="clear" w:color="auto" w:fill="auto"/>
          </w:tcPr>
          <w:p w14:paraId="60C14020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5F499" w14:textId="77777777" w:rsidR="00FC266A" w:rsidRPr="00401CCB" w:rsidRDefault="00FC266A" w:rsidP="009D0201">
            <w:pPr>
              <w:ind w:left="-135" w:right="693"/>
              <w:jc w:val="center"/>
              <w:rPr>
                <w:rFonts w:asciiTheme="minorHAnsi" w:hAnsiTheme="minorHAnsi"/>
                <w:b/>
                <w:color w:val="FFFFFF"/>
                <w:sz w:val="24"/>
                <w:szCs w:val="24"/>
              </w:rPr>
            </w:pPr>
            <w:r w:rsidRPr="00401CCB">
              <w:rPr>
                <w:noProof/>
                <w:lang w:eastAsia="fr-FR"/>
              </w:rPr>
              <w:drawing>
                <wp:inline distT="0" distB="0" distL="0" distR="0" wp14:anchorId="7D25D58E" wp14:editId="2F7EB5C1">
                  <wp:extent cx="1438275" cy="571502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932" cy="578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4BCF" w:rsidRPr="00401CCB" w14:paraId="1407D6CA" w14:textId="77777777" w:rsidTr="00FD13A8">
        <w:trPr>
          <w:gridAfter w:val="1"/>
          <w:wAfter w:w="465" w:type="dxa"/>
          <w:trHeight w:val="57"/>
        </w:trPr>
        <w:tc>
          <w:tcPr>
            <w:tcW w:w="3628" w:type="dxa"/>
            <w:tcBorders>
              <w:top w:val="nil"/>
              <w:left w:val="nil"/>
              <w:bottom w:val="single" w:sz="24" w:space="0" w:color="951B81"/>
              <w:right w:val="nil"/>
            </w:tcBorders>
            <w:shd w:val="clear" w:color="auto" w:fill="auto"/>
          </w:tcPr>
          <w:p w14:paraId="05F7203A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BF7F5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9694" w:type="dxa"/>
            <w:gridSpan w:val="2"/>
            <w:tcBorders>
              <w:top w:val="nil"/>
              <w:left w:val="nil"/>
              <w:bottom w:val="single" w:sz="24" w:space="0" w:color="2AAC66"/>
              <w:right w:val="nil"/>
            </w:tcBorders>
            <w:shd w:val="clear" w:color="auto" w:fill="auto"/>
          </w:tcPr>
          <w:p w14:paraId="1E845643" w14:textId="77777777" w:rsidR="00FC266A" w:rsidRPr="00401CCB" w:rsidRDefault="00FC266A" w:rsidP="00865865">
            <w:pPr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DFD50" w14:textId="77777777" w:rsidR="00FC266A" w:rsidRPr="00401CCB" w:rsidRDefault="00FC266A" w:rsidP="00865865">
            <w:pPr>
              <w:rPr>
                <w:rFonts w:asciiTheme="minorHAnsi" w:hAnsiTheme="minorHAnsi"/>
                <w:sz w:val="8"/>
                <w:szCs w:val="8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24" w:space="0" w:color="EE7444"/>
              <w:right w:val="nil"/>
            </w:tcBorders>
            <w:shd w:val="clear" w:color="auto" w:fill="auto"/>
          </w:tcPr>
          <w:p w14:paraId="261BD003" w14:textId="77777777" w:rsidR="00FC266A" w:rsidRPr="00401CCB" w:rsidRDefault="00FC266A" w:rsidP="00575F28">
            <w:pPr>
              <w:ind w:right="-105"/>
              <w:rPr>
                <w:rFonts w:asciiTheme="minorHAnsi" w:hAnsiTheme="minorHAnsi"/>
                <w:b/>
                <w:color w:val="FFFFFF"/>
                <w:sz w:val="8"/>
                <w:szCs w:val="8"/>
              </w:rPr>
            </w:pPr>
          </w:p>
        </w:tc>
      </w:tr>
      <w:tr w:rsidR="00494BCF" w:rsidRPr="00401CCB" w14:paraId="07196ED3" w14:textId="77777777" w:rsidTr="009D0201">
        <w:trPr>
          <w:gridAfter w:val="1"/>
          <w:wAfter w:w="465" w:type="dxa"/>
          <w:trHeight w:hRule="exact" w:val="573"/>
        </w:trPr>
        <w:tc>
          <w:tcPr>
            <w:tcW w:w="3628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  <w:shd w:val="pct20" w:color="951B81" w:fill="auto"/>
          </w:tcPr>
          <w:p w14:paraId="0BC7B2BE" w14:textId="77777777" w:rsidR="00FC266A" w:rsidRPr="00401CCB" w:rsidRDefault="00FC266A" w:rsidP="00865865">
            <w:pPr>
              <w:ind w:right="-108"/>
              <w:rPr>
                <w:rFonts w:ascii="Arial" w:hAnsi="Arial" w:cs="Arial"/>
                <w:color w:val="951B81"/>
              </w:rPr>
            </w:pPr>
            <w:r w:rsidRPr="00401CCB">
              <w:rPr>
                <w:rFonts w:ascii="Arial" w:hAnsi="Arial" w:cs="Arial"/>
                <w:b/>
                <w:color w:val="951B81"/>
                <w:sz w:val="44"/>
                <w:szCs w:val="44"/>
              </w:rPr>
              <w:t>Plan</w:t>
            </w: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951B81"/>
                <w:sz w:val="24"/>
                <w:szCs w:val="24"/>
              </w:rPr>
              <w:t>Planifier</w:t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0720CEB6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694" w:type="dxa"/>
            <w:gridSpan w:val="2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  <w:shd w:val="pct20" w:color="2AAC66" w:fill="auto"/>
          </w:tcPr>
          <w:p w14:paraId="10A6CBA0" w14:textId="2A6979EC" w:rsidR="00FC266A" w:rsidRPr="00401CCB" w:rsidRDefault="00FC266A" w:rsidP="00865865">
            <w:pPr>
              <w:rPr>
                <w:rFonts w:ascii="Arial" w:hAnsi="Arial" w:cs="Arial"/>
                <w:color w:val="2AAC66"/>
              </w:rPr>
            </w:pPr>
            <w:r w:rsidRPr="00401CCB">
              <w:rPr>
                <w:rFonts w:ascii="Arial" w:hAnsi="Arial" w:cs="Arial"/>
                <w:b/>
                <w:color w:val="2AAC66"/>
                <w:sz w:val="44"/>
                <w:szCs w:val="44"/>
              </w:rPr>
              <w:t>Do</w:t>
            </w: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 xml:space="preserve"> </w:t>
            </w:r>
            <w:r w:rsidRPr="00401CCB">
              <w:rPr>
                <w:rFonts w:ascii="Arial" w:hAnsi="Arial" w:cs="Arial"/>
                <w:color w:val="2AAC66"/>
                <w:sz w:val="24"/>
                <w:szCs w:val="24"/>
              </w:rPr>
              <w:t>Mettre en œuvre</w:t>
            </w:r>
          </w:p>
        </w:tc>
        <w:tc>
          <w:tcPr>
            <w:tcW w:w="236" w:type="dxa"/>
            <w:gridSpan w:val="2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69DE72BE" w14:textId="77777777" w:rsidR="00FC266A" w:rsidRPr="00401CCB" w:rsidRDefault="00FC266A" w:rsidP="0086586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  <w:shd w:val="pct20" w:color="EE7444" w:fill="auto"/>
          </w:tcPr>
          <w:p w14:paraId="15E4D704" w14:textId="6D0A1FE4" w:rsidR="00FC266A" w:rsidRPr="00401CCB" w:rsidRDefault="00FC266A" w:rsidP="00575F28">
            <w:pPr>
              <w:ind w:right="-105"/>
              <w:rPr>
                <w:rFonts w:ascii="Arial" w:hAnsi="Arial" w:cs="Arial"/>
                <w:b/>
                <w:color w:val="FFFFFF"/>
                <w:sz w:val="44"/>
                <w:szCs w:val="44"/>
              </w:rPr>
            </w:pPr>
            <w:r w:rsidRPr="00401CCB">
              <w:rPr>
                <w:rFonts w:ascii="Arial" w:hAnsi="Arial" w:cs="Arial"/>
                <w:b/>
                <w:color w:val="EE7444"/>
                <w:sz w:val="44"/>
                <w:szCs w:val="44"/>
              </w:rPr>
              <w:t xml:space="preserve">Check </w:t>
            </w:r>
            <w:r w:rsidR="001407FA" w:rsidRPr="00401CCB">
              <w:rPr>
                <w:rFonts w:ascii="Arial" w:hAnsi="Arial" w:cs="Arial"/>
                <w:color w:val="EE7444"/>
                <w:sz w:val="24"/>
                <w:szCs w:val="24"/>
              </w:rPr>
              <w:t>Évaluer</w:t>
            </w:r>
          </w:p>
        </w:tc>
      </w:tr>
      <w:tr w:rsidR="00494BCF" w:rsidRPr="00401CCB" w14:paraId="179E3F19" w14:textId="77777777" w:rsidTr="009D0201">
        <w:trPr>
          <w:gridAfter w:val="1"/>
          <w:wAfter w:w="465" w:type="dxa"/>
          <w:trHeight w:hRule="exact" w:val="8164"/>
        </w:trPr>
        <w:tc>
          <w:tcPr>
            <w:tcW w:w="3628" w:type="dxa"/>
            <w:tcBorders>
              <w:top w:val="single" w:sz="24" w:space="0" w:color="951B81"/>
              <w:left w:val="single" w:sz="24" w:space="0" w:color="951B81"/>
              <w:bottom w:val="single" w:sz="24" w:space="0" w:color="951B81"/>
              <w:right w:val="single" w:sz="24" w:space="0" w:color="951B81"/>
            </w:tcBorders>
          </w:tcPr>
          <w:p w14:paraId="7C61EAAE" w14:textId="65E188AD" w:rsidR="00FC266A" w:rsidRPr="00401CCB" w:rsidRDefault="00FC266A" w:rsidP="00494BCF">
            <w:pPr>
              <w:spacing w:before="60" w:after="120"/>
              <w:ind w:left="37" w:hanging="8"/>
              <w:rPr>
                <w:rFonts w:ascii="Arial" w:hAnsi="Arial" w:cs="Arial"/>
                <w:b/>
                <w:color w:val="951B81"/>
              </w:rPr>
            </w:pPr>
            <w:r w:rsidRPr="00FD13A8">
              <w:rPr>
                <w:rFonts w:ascii="Arial" w:hAnsi="Arial" w:cs="Arial"/>
                <w:b/>
                <w:color w:val="951B81"/>
              </w:rPr>
              <w:t>Contexte</w:t>
            </w:r>
            <w:r w:rsidRPr="00401CCB">
              <w:rPr>
                <w:rFonts w:ascii="Arial" w:hAnsi="Arial" w:cs="Arial"/>
                <w:b/>
                <w:color w:val="951B81"/>
              </w:rPr>
              <w:t>, stratégie, sens, objectifs</w:t>
            </w:r>
          </w:p>
          <w:p w14:paraId="662D2A7C" w14:textId="77777777" w:rsidR="00494BCF" w:rsidRPr="007C3A4C" w:rsidRDefault="00494BCF" w:rsidP="00494BCF">
            <w:pPr>
              <w:spacing w:after="60"/>
              <w:ind w:right="34"/>
              <w:rPr>
                <w:rFonts w:ascii="Arial" w:hAnsi="Arial" w:cs="Arial"/>
                <w:sz w:val="18"/>
                <w:szCs w:val="18"/>
              </w:rPr>
            </w:pPr>
            <w:r w:rsidRPr="007C3A4C">
              <w:rPr>
                <w:rFonts w:ascii="Arial" w:hAnsi="Arial" w:cs="Arial"/>
                <w:sz w:val="18"/>
                <w:szCs w:val="18"/>
              </w:rPr>
              <w:t>La loi pour la refondation de l’École de la République a mis l’accent sur la lutte contre le décrochage scolaire en cohérence avec les politiques publiques centrées sur la jeunesse et a incité la communauté éducative, les chercheurs, les autres ministères, les collectivités, les associations à se saisir de cet enjeu.</w:t>
            </w:r>
          </w:p>
          <w:p w14:paraId="6DC3BAC6" w14:textId="77777777" w:rsidR="00494BCF" w:rsidRPr="007C3A4C" w:rsidRDefault="00494BCF" w:rsidP="00494BCF">
            <w:pPr>
              <w:spacing w:after="60"/>
              <w:ind w:right="34"/>
              <w:rPr>
                <w:rFonts w:ascii="Arial" w:hAnsi="Arial" w:cs="Arial"/>
                <w:sz w:val="18"/>
                <w:szCs w:val="18"/>
              </w:rPr>
            </w:pPr>
            <w:r w:rsidRPr="007C3A4C">
              <w:rPr>
                <w:rFonts w:ascii="Arial" w:hAnsi="Arial" w:cs="Arial"/>
                <w:sz w:val="18"/>
                <w:szCs w:val="18"/>
              </w:rPr>
              <w:t>La loi n° 2019-791 du 26 juillet 2019 pour une école de la confiance a instauré une obligation de formation pour les jeunes âgés de 16 à 18 ans.</w:t>
            </w:r>
          </w:p>
          <w:p w14:paraId="08E13512" w14:textId="77777777" w:rsidR="00494BCF" w:rsidRPr="007C3A4C" w:rsidRDefault="00494BCF" w:rsidP="00494BCF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A4C">
              <w:rPr>
                <w:rFonts w:ascii="Arial" w:hAnsi="Arial" w:cs="Arial"/>
                <w:sz w:val="18"/>
                <w:szCs w:val="18"/>
              </w:rPr>
              <w:t xml:space="preserve">Dans le cadre de la réforme du lycée professionnel mise en œuvre à la rentrée 2023, la prévention du décrochage scolaire a encore été renforcée par la mise en place du dispositif « Tous droits ouverts » (TDO) pour accompagner concrètement les lycéens de la voie professionnelle en situation de décrochage. </w:t>
            </w:r>
          </w:p>
          <w:p w14:paraId="42BD9FD2" w14:textId="77777777" w:rsidR="00494BCF" w:rsidRPr="007C3A4C" w:rsidRDefault="00494BCF" w:rsidP="00494BCF">
            <w:pPr>
              <w:widowControl w:val="0"/>
              <w:numPr>
                <w:ilvl w:val="0"/>
                <w:numId w:val="3"/>
              </w:numPr>
              <w:spacing w:after="60"/>
              <w:ind w:left="142" w:right="34" w:hanging="142"/>
              <w:rPr>
                <w:rFonts w:ascii="Arial" w:hAnsi="Arial" w:cs="Arial"/>
                <w:sz w:val="18"/>
                <w:szCs w:val="18"/>
              </w:rPr>
            </w:pPr>
            <w:r w:rsidRPr="007C3A4C">
              <w:rPr>
                <w:rFonts w:ascii="Arial" w:hAnsi="Arial" w:cs="Arial"/>
                <w:sz w:val="18"/>
                <w:szCs w:val="18"/>
              </w:rPr>
              <w:t>Quelles sont les orientations stratégiques des politiques régionales dans le domaine du décrochage scolaire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C3A4C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14:paraId="7FA92289" w14:textId="3081DCFF" w:rsidR="00494BCF" w:rsidRPr="007C3A4C" w:rsidRDefault="00494BCF" w:rsidP="00494BCF">
            <w:pPr>
              <w:widowControl w:val="0"/>
              <w:numPr>
                <w:ilvl w:val="0"/>
                <w:numId w:val="3"/>
              </w:numPr>
              <w:spacing w:after="60"/>
              <w:ind w:left="142" w:right="34" w:hanging="142"/>
              <w:rPr>
                <w:rFonts w:ascii="Arial" w:hAnsi="Arial" w:cs="Arial"/>
                <w:sz w:val="18"/>
                <w:szCs w:val="18"/>
              </w:rPr>
            </w:pPr>
            <w:r w:rsidRPr="007C3A4C">
              <w:rPr>
                <w:rFonts w:ascii="Arial" w:hAnsi="Arial" w:cs="Arial"/>
                <w:sz w:val="18"/>
                <w:szCs w:val="18"/>
              </w:rPr>
              <w:t xml:space="preserve">Comment le projet d’établissement met-il l’accent sur la persévérance scolaire et la prévention du décrochage, sur la mobilisation partenariale, notamment ceux bénéficiant du </w:t>
            </w:r>
            <w:hyperlink r:id="rId22" w:history="1">
              <w:r w:rsidRPr="007C3A4C">
                <w:rPr>
                  <w:rStyle w:val="Lienhypertexte"/>
                  <w:rFonts w:ascii="Arial" w:hAnsi="Arial" w:cs="Arial"/>
                  <w:sz w:val="18"/>
                  <w:szCs w:val="18"/>
                </w:rPr>
                <w:t>droit au retour en formation initiale</w:t>
              </w:r>
            </w:hyperlink>
            <w:r w:rsidRPr="007C3A4C">
              <w:rPr>
                <w:rFonts w:ascii="Arial" w:hAnsi="Arial" w:cs="Arial"/>
                <w:sz w:val="18"/>
                <w:szCs w:val="18"/>
              </w:rPr>
              <w:t xml:space="preserve"> ? Avec quels objectifs et quelle stratégie ? </w:t>
            </w:r>
          </w:p>
          <w:p w14:paraId="169EED83" w14:textId="77777777" w:rsidR="00494BCF" w:rsidRPr="007C3A4C" w:rsidRDefault="00494BCF" w:rsidP="00494BCF">
            <w:pPr>
              <w:widowControl w:val="0"/>
              <w:numPr>
                <w:ilvl w:val="0"/>
                <w:numId w:val="3"/>
              </w:numPr>
              <w:ind w:left="142" w:right="34" w:hanging="142"/>
              <w:rPr>
                <w:rFonts w:ascii="Arial" w:hAnsi="Arial" w:cs="Arial"/>
                <w:sz w:val="18"/>
                <w:szCs w:val="18"/>
              </w:rPr>
            </w:pPr>
            <w:r w:rsidRPr="007C3A4C">
              <w:rPr>
                <w:rFonts w:ascii="Arial" w:hAnsi="Arial" w:cs="Arial"/>
                <w:sz w:val="18"/>
                <w:szCs w:val="18"/>
              </w:rPr>
              <w:t>Quelle est la valorisation du rôle de chacun dans la réussite éducative des jeunes ?</w:t>
            </w:r>
          </w:p>
          <w:p w14:paraId="45E02499" w14:textId="77777777" w:rsidR="006C3AA4" w:rsidRPr="006C3AA4" w:rsidRDefault="006C3AA4" w:rsidP="006C3AA4">
            <w:pPr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B86FFF" w14:textId="77777777" w:rsidR="00660471" w:rsidRPr="00660471" w:rsidRDefault="00660471" w:rsidP="00660471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460A99C9" w14:textId="77777777" w:rsidR="00660471" w:rsidRPr="00660471" w:rsidRDefault="00660471" w:rsidP="00660471">
            <w:pPr>
              <w:rPr>
                <w:rFonts w:asciiTheme="minorHAnsi" w:hAnsiTheme="minorHAnsi"/>
                <w:sz w:val="18"/>
                <w:szCs w:val="18"/>
              </w:rPr>
            </w:pPr>
          </w:p>
          <w:p w14:paraId="537505FA" w14:textId="1FBA9940" w:rsidR="00660471" w:rsidRPr="00660471" w:rsidRDefault="00660471" w:rsidP="00660471">
            <w:pPr>
              <w:tabs>
                <w:tab w:val="left" w:pos="3548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24" w:space="0" w:color="951B81"/>
              <w:bottom w:val="nil"/>
              <w:right w:val="single" w:sz="24" w:space="0" w:color="2AAC66"/>
            </w:tcBorders>
          </w:tcPr>
          <w:p w14:paraId="4B732FE5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9694" w:type="dxa"/>
            <w:gridSpan w:val="2"/>
            <w:tcBorders>
              <w:top w:val="single" w:sz="24" w:space="0" w:color="2AAC66"/>
              <w:left w:val="single" w:sz="24" w:space="0" w:color="2AAC66"/>
              <w:bottom w:val="single" w:sz="24" w:space="0" w:color="2AAC66"/>
              <w:right w:val="single" w:sz="24" w:space="0" w:color="2AAC66"/>
            </w:tcBorders>
          </w:tcPr>
          <w:p w14:paraId="17AA2807" w14:textId="455C7F61" w:rsidR="00FC266A" w:rsidRPr="00401CCB" w:rsidRDefault="00FC266A" w:rsidP="00575F28">
            <w:pPr>
              <w:widowControl w:val="0"/>
              <w:tabs>
                <w:tab w:val="left" w:pos="323"/>
              </w:tabs>
              <w:spacing w:before="60" w:after="120"/>
              <w:ind w:right="170"/>
              <w:jc w:val="both"/>
              <w:rPr>
                <w:rFonts w:ascii="Arial" w:hAnsi="Arial" w:cs="Arial"/>
                <w:b/>
                <w:color w:val="2AAC66"/>
              </w:rPr>
            </w:pPr>
            <w:r w:rsidRPr="00FD13A8">
              <w:rPr>
                <w:rFonts w:ascii="Arial" w:hAnsi="Arial" w:cs="Arial"/>
                <w:b/>
                <w:color w:val="2AAC66"/>
              </w:rPr>
              <w:t>Acteurs</w:t>
            </w:r>
            <w:r w:rsidRPr="00401CCB">
              <w:rPr>
                <w:rFonts w:ascii="Arial" w:hAnsi="Arial" w:cs="Arial"/>
                <w:b/>
                <w:color w:val="2AAC66"/>
              </w:rPr>
              <w:t xml:space="preserve"> – Actions – Moyens – Temps</w:t>
            </w:r>
          </w:p>
          <w:p w14:paraId="35C47F66" w14:textId="0107F1D7" w:rsidR="00575F28" w:rsidRPr="00575F28" w:rsidRDefault="00575F28" w:rsidP="003305F1">
            <w:pPr>
              <w:tabs>
                <w:tab w:val="left" w:pos="9356"/>
              </w:tabs>
              <w:ind w:right="10"/>
              <w:rPr>
                <w:rFonts w:ascii="Arial" w:eastAsia="MS Mincho" w:hAnsi="Arial" w:cs="Arial"/>
                <w:sz w:val="18"/>
                <w:szCs w:val="18"/>
              </w:rPr>
            </w:pPr>
            <w:r w:rsidRPr="00575F28">
              <w:rPr>
                <w:rFonts w:ascii="Arial" w:eastAsia="MS Mincho" w:hAnsi="Arial" w:cs="Arial"/>
                <w:sz w:val="18"/>
                <w:szCs w:val="18"/>
              </w:rPr>
              <w:t>Trois champs d’actions sont proposés pour structurer et autoévaluer la mise en œuvre des actions liées à la lutte contre le décrochage scolaire</w:t>
            </w:r>
            <w:r w:rsidR="00143700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 w:rsidRPr="00575F28">
              <w:rPr>
                <w:rFonts w:ascii="Arial" w:eastAsia="MS Mincho" w:hAnsi="Arial" w:cs="Arial"/>
                <w:sz w:val="18"/>
                <w:szCs w:val="18"/>
              </w:rPr>
              <w:t>: prévention, intervention, remédiation.</w:t>
            </w:r>
          </w:p>
          <w:p w14:paraId="4E582A3F" w14:textId="77777777" w:rsidR="00575F28" w:rsidRPr="00575F28" w:rsidRDefault="00575F28" w:rsidP="003305F1">
            <w:pPr>
              <w:tabs>
                <w:tab w:val="left" w:pos="9356"/>
              </w:tabs>
              <w:spacing w:before="60" w:after="60"/>
              <w:ind w:right="10"/>
              <w:rPr>
                <w:rFonts w:ascii="Arial" w:eastAsia="MS Mincho" w:hAnsi="Arial" w:cs="Arial"/>
                <w:b/>
                <w:color w:val="2AAC66"/>
                <w:sz w:val="18"/>
                <w:szCs w:val="18"/>
              </w:rPr>
            </w:pPr>
            <w:r w:rsidRPr="00575F28">
              <w:rPr>
                <w:rFonts w:ascii="Arial" w:eastAsia="MS Mincho" w:hAnsi="Arial" w:cs="Arial"/>
                <w:b/>
                <w:color w:val="2AAC66"/>
                <w:sz w:val="18"/>
                <w:szCs w:val="18"/>
              </w:rPr>
              <w:t>Prévenir : anticiper le décrochage en créant un environnement scolaire favorable à l’engagement et à la réussite</w:t>
            </w:r>
          </w:p>
          <w:p w14:paraId="27598396" w14:textId="5165BBA5" w:rsidR="00575F28" w:rsidRPr="009D0201" w:rsidRDefault="00575F28" w:rsidP="009D0201">
            <w:pPr>
              <w:pStyle w:val="Paragraphedeliste"/>
              <w:numPr>
                <w:ilvl w:val="0"/>
                <w:numId w:val="13"/>
              </w:numPr>
              <w:tabs>
                <w:tab w:val="left" w:pos="9356"/>
              </w:tabs>
              <w:ind w:left="284" w:right="10" w:hanging="294"/>
              <w:rPr>
                <w:rFonts w:ascii="Arial" w:eastAsia="MS Mincho" w:hAnsi="Arial" w:cs="Arial"/>
                <w:sz w:val="18"/>
                <w:szCs w:val="18"/>
              </w:rPr>
            </w:pPr>
            <w:r w:rsidRPr="009D0201">
              <w:rPr>
                <w:rFonts w:ascii="Arial" w:eastAsia="MS Mincho" w:hAnsi="Arial" w:cs="Arial"/>
                <w:sz w:val="18"/>
                <w:szCs w:val="18"/>
              </w:rPr>
              <w:t>Quelle organisation l’établissement a-t-il mise en place pour prévenir le décrochage scolaire</w:t>
            </w:r>
            <w:r w:rsidR="009D0201">
              <w:rPr>
                <w:rFonts w:ascii="Arial" w:eastAsia="MS Mincho" w:hAnsi="Arial" w:cs="Arial"/>
                <w:sz w:val="18"/>
                <w:szCs w:val="18"/>
              </w:rPr>
              <w:t> ? P</w:t>
            </w:r>
            <w:r w:rsidRPr="009D0201">
              <w:rPr>
                <w:rFonts w:ascii="Arial" w:eastAsia="MS Mincho" w:hAnsi="Arial" w:cs="Arial"/>
                <w:sz w:val="18"/>
                <w:szCs w:val="18"/>
              </w:rPr>
              <w:t>ar exemple l’existence d’un groupe de prévention du décrochage scolaire (GPDS), désignation d’un référent décrochage, politique d’information et de communication</w:t>
            </w:r>
            <w:r w:rsidR="009D0201">
              <w:rPr>
                <w:rFonts w:ascii="Arial" w:eastAsia="MS Mincho" w:hAnsi="Arial" w:cs="Arial"/>
                <w:sz w:val="18"/>
                <w:szCs w:val="18"/>
              </w:rPr>
              <w:t>…</w:t>
            </w:r>
          </w:p>
          <w:p w14:paraId="3019DD05" w14:textId="77777777" w:rsidR="00575F28" w:rsidRPr="009D0201" w:rsidRDefault="00575F28" w:rsidP="009D0201">
            <w:pPr>
              <w:pStyle w:val="Paragraphedeliste"/>
              <w:numPr>
                <w:ilvl w:val="0"/>
                <w:numId w:val="13"/>
              </w:numPr>
              <w:tabs>
                <w:tab w:val="left" w:pos="9356"/>
              </w:tabs>
              <w:ind w:left="284" w:right="10" w:hanging="294"/>
              <w:rPr>
                <w:rFonts w:ascii="Arial" w:eastAsia="MS Mincho" w:hAnsi="Arial" w:cs="Arial"/>
                <w:sz w:val="18"/>
                <w:szCs w:val="18"/>
              </w:rPr>
            </w:pPr>
            <w:r w:rsidRPr="009D0201">
              <w:rPr>
                <w:rFonts w:ascii="Arial" w:eastAsia="MS Mincho" w:hAnsi="Arial" w:cs="Arial"/>
                <w:sz w:val="18"/>
                <w:szCs w:val="18"/>
              </w:rPr>
              <w:t xml:space="preserve">De quelle manière l’ensemble des personnels de l’établissement est-il sensibilisé aux signes précurseurs du décrochage : absentéisme, changements de comportement, baisse des résultats, signaux faibles, etc. ? </w:t>
            </w:r>
          </w:p>
          <w:p w14:paraId="6B40E640" w14:textId="77777777" w:rsidR="00575F28" w:rsidRPr="009D0201" w:rsidRDefault="00575F28" w:rsidP="009D0201">
            <w:pPr>
              <w:pStyle w:val="Paragraphedeliste"/>
              <w:numPr>
                <w:ilvl w:val="0"/>
                <w:numId w:val="13"/>
              </w:numPr>
              <w:tabs>
                <w:tab w:val="left" w:pos="9356"/>
              </w:tabs>
              <w:ind w:left="284" w:right="10" w:hanging="294"/>
              <w:rPr>
                <w:rFonts w:ascii="Arial" w:eastAsia="MS Mincho" w:hAnsi="Arial" w:cs="Arial"/>
                <w:sz w:val="18"/>
                <w:szCs w:val="18"/>
              </w:rPr>
            </w:pPr>
            <w:r w:rsidRPr="009D0201">
              <w:rPr>
                <w:rFonts w:ascii="Arial" w:eastAsia="MS Mincho" w:hAnsi="Arial" w:cs="Arial"/>
                <w:sz w:val="18"/>
                <w:szCs w:val="18"/>
              </w:rPr>
              <w:t>Quelles actions sont déclenchées dès l’apparition des signes de désengagement ou de rupture ?</w:t>
            </w:r>
          </w:p>
          <w:p w14:paraId="33CE127F" w14:textId="77777777" w:rsidR="00575F28" w:rsidRPr="009D0201" w:rsidRDefault="00575F28" w:rsidP="009D0201">
            <w:pPr>
              <w:pStyle w:val="Paragraphedeliste"/>
              <w:numPr>
                <w:ilvl w:val="0"/>
                <w:numId w:val="13"/>
              </w:numPr>
              <w:tabs>
                <w:tab w:val="left" w:pos="9356"/>
              </w:tabs>
              <w:ind w:left="284" w:right="10" w:hanging="294"/>
              <w:rPr>
                <w:rFonts w:ascii="Arial" w:eastAsia="MS Mincho" w:hAnsi="Arial" w:cs="Arial"/>
                <w:sz w:val="18"/>
                <w:szCs w:val="18"/>
              </w:rPr>
            </w:pPr>
            <w:r w:rsidRPr="009D0201">
              <w:rPr>
                <w:rFonts w:ascii="Arial" w:eastAsia="MS Mincho" w:hAnsi="Arial" w:cs="Arial"/>
                <w:sz w:val="18"/>
                <w:szCs w:val="18"/>
              </w:rPr>
              <w:t xml:space="preserve">Des formations à la prévention du décrochage scolaire sont-elles proposées aux personnels ? </w:t>
            </w:r>
          </w:p>
          <w:p w14:paraId="03A865B0" w14:textId="14DB8832" w:rsidR="00575F28" w:rsidRPr="009D0201" w:rsidRDefault="00575F28" w:rsidP="009D0201">
            <w:pPr>
              <w:pStyle w:val="Paragraphedeliste"/>
              <w:numPr>
                <w:ilvl w:val="0"/>
                <w:numId w:val="13"/>
              </w:numPr>
              <w:tabs>
                <w:tab w:val="left" w:pos="9356"/>
              </w:tabs>
              <w:ind w:left="284" w:right="10" w:hanging="294"/>
              <w:rPr>
                <w:rFonts w:ascii="Arial" w:eastAsia="MS Mincho" w:hAnsi="Arial" w:cs="Arial"/>
                <w:sz w:val="18"/>
                <w:szCs w:val="18"/>
              </w:rPr>
            </w:pPr>
            <w:r w:rsidRPr="009D0201">
              <w:rPr>
                <w:rFonts w:ascii="Arial" w:eastAsia="MS Mincho" w:hAnsi="Arial" w:cs="Arial"/>
                <w:sz w:val="18"/>
                <w:szCs w:val="18"/>
              </w:rPr>
              <w:t xml:space="preserve">Comment les pratiques pédagogiques de l'établissement sont-elles adaptées pour prévenir le décrochage (différenciation, accompagnement personnalisé, inclusion…) ? </w:t>
            </w:r>
          </w:p>
          <w:p w14:paraId="6E51B25A" w14:textId="77777777" w:rsidR="00575F28" w:rsidRPr="009D0201" w:rsidRDefault="00575F28" w:rsidP="009D0201">
            <w:pPr>
              <w:pStyle w:val="Paragraphedeliste"/>
              <w:numPr>
                <w:ilvl w:val="0"/>
                <w:numId w:val="13"/>
              </w:numPr>
              <w:tabs>
                <w:tab w:val="left" w:pos="9356"/>
              </w:tabs>
              <w:ind w:left="284" w:right="10" w:hanging="294"/>
              <w:rPr>
                <w:rFonts w:ascii="Arial" w:eastAsia="MS Mincho" w:hAnsi="Arial" w:cs="Arial"/>
                <w:sz w:val="18"/>
                <w:szCs w:val="18"/>
              </w:rPr>
            </w:pPr>
            <w:r w:rsidRPr="009D0201">
              <w:rPr>
                <w:rFonts w:ascii="Arial" w:eastAsia="MS Mincho" w:hAnsi="Arial" w:cs="Arial"/>
                <w:sz w:val="18"/>
                <w:szCs w:val="18"/>
              </w:rPr>
              <w:t xml:space="preserve">Quelles innovations pédagogiques ou dispositifs expérimentaux sont testés dans l’établissement ? </w:t>
            </w:r>
          </w:p>
          <w:p w14:paraId="4F342759" w14:textId="77777777" w:rsidR="00575F28" w:rsidRPr="009D0201" w:rsidRDefault="00575F28" w:rsidP="009D0201">
            <w:pPr>
              <w:pStyle w:val="Paragraphedeliste"/>
              <w:numPr>
                <w:ilvl w:val="0"/>
                <w:numId w:val="13"/>
              </w:numPr>
              <w:tabs>
                <w:tab w:val="left" w:pos="9356"/>
              </w:tabs>
              <w:ind w:left="284" w:right="10" w:hanging="294"/>
              <w:rPr>
                <w:rFonts w:ascii="Arial" w:eastAsia="MS Mincho" w:hAnsi="Arial" w:cs="Arial"/>
                <w:sz w:val="18"/>
                <w:szCs w:val="18"/>
              </w:rPr>
            </w:pPr>
            <w:r w:rsidRPr="009D0201">
              <w:rPr>
                <w:rFonts w:ascii="Arial" w:eastAsia="MS Mincho" w:hAnsi="Arial" w:cs="Arial"/>
                <w:sz w:val="18"/>
                <w:szCs w:val="18"/>
              </w:rPr>
              <w:t xml:space="preserve">Dans quelle mesure le travail en équipe pluri-catégorielle est-il organisé pour répondre aux besoins des élèves ? </w:t>
            </w:r>
          </w:p>
          <w:p w14:paraId="1ED65687" w14:textId="77777777" w:rsidR="00575F28" w:rsidRPr="009D0201" w:rsidRDefault="00575F28" w:rsidP="009D0201">
            <w:pPr>
              <w:pStyle w:val="Paragraphedeliste"/>
              <w:numPr>
                <w:ilvl w:val="0"/>
                <w:numId w:val="13"/>
              </w:numPr>
              <w:tabs>
                <w:tab w:val="left" w:pos="9356"/>
              </w:tabs>
              <w:ind w:left="284" w:right="10" w:hanging="294"/>
              <w:rPr>
                <w:rFonts w:ascii="Arial" w:eastAsia="MS Mincho" w:hAnsi="Arial" w:cs="Arial"/>
                <w:sz w:val="18"/>
                <w:szCs w:val="18"/>
              </w:rPr>
            </w:pPr>
            <w:r w:rsidRPr="009D0201">
              <w:rPr>
                <w:rFonts w:ascii="Arial" w:eastAsia="MS Mincho" w:hAnsi="Arial" w:cs="Arial"/>
                <w:sz w:val="18"/>
                <w:szCs w:val="18"/>
              </w:rPr>
              <w:t xml:space="preserve">Quelles actions sont mises en place pour renforcer le sentiment d'appartenance, le bien-être à l’école et la coopération entre élèves ? </w:t>
            </w:r>
          </w:p>
          <w:p w14:paraId="1FC240AD" w14:textId="77777777" w:rsidR="00575F28" w:rsidRPr="009D0201" w:rsidRDefault="00575F28" w:rsidP="009D0201">
            <w:pPr>
              <w:pStyle w:val="Paragraphedeliste"/>
              <w:numPr>
                <w:ilvl w:val="0"/>
                <w:numId w:val="13"/>
              </w:numPr>
              <w:tabs>
                <w:tab w:val="left" w:pos="9356"/>
              </w:tabs>
              <w:ind w:left="284" w:right="10" w:hanging="294"/>
              <w:rPr>
                <w:rFonts w:ascii="Arial" w:eastAsia="MS Mincho" w:hAnsi="Arial" w:cs="Arial"/>
                <w:sz w:val="18"/>
                <w:szCs w:val="18"/>
              </w:rPr>
            </w:pPr>
            <w:r w:rsidRPr="009D0201">
              <w:rPr>
                <w:rFonts w:ascii="Arial" w:eastAsia="MS Mincho" w:hAnsi="Arial" w:cs="Arial"/>
                <w:sz w:val="18"/>
                <w:szCs w:val="18"/>
              </w:rPr>
              <w:t xml:space="preserve">Comment l’établissement met-il en œuvre les dispositifs d’accompagnement personnalisés (stages passerelles, stages de remise à niveau, tutorat, aide à l’orientation) pour soutenir la motivation et le projet de l’élève ? </w:t>
            </w:r>
          </w:p>
          <w:p w14:paraId="7A37F932" w14:textId="77777777" w:rsidR="00575F28" w:rsidRPr="009D0201" w:rsidRDefault="00575F28" w:rsidP="009D0201">
            <w:pPr>
              <w:pStyle w:val="Paragraphedeliste"/>
              <w:numPr>
                <w:ilvl w:val="0"/>
                <w:numId w:val="13"/>
              </w:numPr>
              <w:tabs>
                <w:tab w:val="left" w:pos="9356"/>
              </w:tabs>
              <w:ind w:left="284" w:right="10" w:hanging="294"/>
              <w:rPr>
                <w:rFonts w:ascii="Arial" w:eastAsia="MS Mincho" w:hAnsi="Arial" w:cs="Arial"/>
                <w:sz w:val="18"/>
                <w:szCs w:val="18"/>
              </w:rPr>
            </w:pPr>
            <w:r w:rsidRPr="009D0201">
              <w:rPr>
                <w:rFonts w:ascii="Arial" w:eastAsia="MS Mincho" w:hAnsi="Arial" w:cs="Arial"/>
                <w:sz w:val="18"/>
                <w:szCs w:val="18"/>
              </w:rPr>
              <w:t>Des parcours de formation aménagés sont-ils proposés aux élèves   à risque de décrochage (PAFI, PAFI –TDO) ?</w:t>
            </w:r>
          </w:p>
          <w:p w14:paraId="505FF6E3" w14:textId="77777777" w:rsidR="00575F28" w:rsidRPr="009D0201" w:rsidRDefault="00575F28" w:rsidP="009D0201">
            <w:pPr>
              <w:pStyle w:val="Paragraphedeliste"/>
              <w:numPr>
                <w:ilvl w:val="0"/>
                <w:numId w:val="13"/>
              </w:numPr>
              <w:tabs>
                <w:tab w:val="left" w:pos="9356"/>
              </w:tabs>
              <w:ind w:left="284" w:right="10" w:hanging="294"/>
              <w:rPr>
                <w:rFonts w:ascii="Arial" w:eastAsia="MS Mincho" w:hAnsi="Arial" w:cs="Arial"/>
                <w:sz w:val="18"/>
                <w:szCs w:val="18"/>
              </w:rPr>
            </w:pPr>
            <w:r w:rsidRPr="009D0201">
              <w:rPr>
                <w:rFonts w:ascii="Arial" w:eastAsia="MS Mincho" w:hAnsi="Arial" w:cs="Arial"/>
                <w:sz w:val="18"/>
                <w:szCs w:val="18"/>
              </w:rPr>
              <w:t xml:space="preserve">Comment le lien avec les familles est-il construit et entretenu dans une logique de coéducation ?  </w:t>
            </w:r>
          </w:p>
          <w:p w14:paraId="0C8F48E5" w14:textId="77777777" w:rsidR="00575F28" w:rsidRPr="00575F28" w:rsidRDefault="00575F28" w:rsidP="003305F1">
            <w:pPr>
              <w:tabs>
                <w:tab w:val="left" w:pos="9356"/>
              </w:tabs>
              <w:spacing w:before="60" w:after="60"/>
              <w:ind w:right="10"/>
              <w:rPr>
                <w:rFonts w:ascii="Arial" w:eastAsia="MS Mincho" w:hAnsi="Arial" w:cs="Arial"/>
                <w:b/>
                <w:color w:val="2AAC66"/>
                <w:sz w:val="18"/>
                <w:szCs w:val="18"/>
              </w:rPr>
            </w:pPr>
            <w:r w:rsidRPr="00575F28">
              <w:rPr>
                <w:rFonts w:ascii="Arial" w:eastAsia="MS Mincho" w:hAnsi="Arial" w:cs="Arial"/>
                <w:b/>
                <w:color w:val="2AAC66"/>
                <w:sz w:val="18"/>
                <w:szCs w:val="18"/>
              </w:rPr>
              <w:t>Intervenir : agir rapidement et collectivement face à une situation de décrochage en cours</w:t>
            </w:r>
          </w:p>
          <w:p w14:paraId="6FEC3847" w14:textId="77777777" w:rsidR="00575F28" w:rsidRPr="009D0201" w:rsidRDefault="00575F28" w:rsidP="009D0201">
            <w:pPr>
              <w:pStyle w:val="Paragraphedeliste"/>
              <w:numPr>
                <w:ilvl w:val="0"/>
                <w:numId w:val="14"/>
              </w:numPr>
              <w:tabs>
                <w:tab w:val="left" w:pos="9356"/>
              </w:tabs>
              <w:ind w:left="284" w:right="10" w:hanging="294"/>
              <w:rPr>
                <w:rFonts w:ascii="Arial" w:eastAsia="MS Mincho" w:hAnsi="Arial" w:cs="Arial"/>
                <w:sz w:val="18"/>
                <w:szCs w:val="18"/>
              </w:rPr>
            </w:pPr>
            <w:r w:rsidRPr="009D0201">
              <w:rPr>
                <w:rFonts w:ascii="Arial" w:eastAsia="MS Mincho" w:hAnsi="Arial" w:cs="Arial"/>
                <w:sz w:val="18"/>
                <w:szCs w:val="18"/>
              </w:rPr>
              <w:t>Comment l’analyse des causes du décrochage des élèves est-elle conduite (entretien avec l’élève, observation croisée, croisement des informations, etc…) ?</w:t>
            </w:r>
          </w:p>
          <w:p w14:paraId="5437F9BF" w14:textId="77777777" w:rsidR="00575F28" w:rsidRPr="009D0201" w:rsidRDefault="00575F28" w:rsidP="009D0201">
            <w:pPr>
              <w:pStyle w:val="Paragraphedeliste"/>
              <w:numPr>
                <w:ilvl w:val="0"/>
                <w:numId w:val="14"/>
              </w:numPr>
              <w:tabs>
                <w:tab w:val="left" w:pos="9356"/>
              </w:tabs>
              <w:ind w:left="284" w:right="10" w:hanging="294"/>
              <w:rPr>
                <w:rFonts w:ascii="Arial" w:eastAsia="MS Mincho" w:hAnsi="Arial" w:cs="Arial"/>
                <w:sz w:val="18"/>
                <w:szCs w:val="18"/>
              </w:rPr>
            </w:pPr>
            <w:r w:rsidRPr="009D0201">
              <w:rPr>
                <w:rFonts w:ascii="Arial" w:eastAsia="MS Mincho" w:hAnsi="Arial" w:cs="Arial"/>
                <w:sz w:val="18"/>
                <w:szCs w:val="18"/>
              </w:rPr>
              <w:t>Quelles actions sont mises en place pour réengager les élèves dans une dynamique positive de scolarisation ?</w:t>
            </w:r>
          </w:p>
          <w:p w14:paraId="0274FB44" w14:textId="77777777" w:rsidR="00575F28" w:rsidRPr="009D0201" w:rsidRDefault="00575F28" w:rsidP="009D0201">
            <w:pPr>
              <w:pStyle w:val="Paragraphedeliste"/>
              <w:numPr>
                <w:ilvl w:val="0"/>
                <w:numId w:val="14"/>
              </w:numPr>
              <w:tabs>
                <w:tab w:val="left" w:pos="9356"/>
              </w:tabs>
              <w:ind w:left="284" w:right="10" w:hanging="294"/>
              <w:rPr>
                <w:rFonts w:ascii="Arial" w:eastAsia="MS Mincho" w:hAnsi="Arial" w:cs="Arial"/>
                <w:sz w:val="18"/>
                <w:szCs w:val="18"/>
              </w:rPr>
            </w:pPr>
            <w:r w:rsidRPr="009D0201">
              <w:rPr>
                <w:rFonts w:ascii="Arial" w:eastAsia="MS Mincho" w:hAnsi="Arial" w:cs="Arial"/>
                <w:sz w:val="18"/>
                <w:szCs w:val="18"/>
              </w:rPr>
              <w:t>Comment les équipes éducatives sont-elles mobilisées et soutenues dans cette démarche ?</w:t>
            </w:r>
          </w:p>
          <w:p w14:paraId="5CD8223D" w14:textId="45049DD6" w:rsidR="00575F28" w:rsidRPr="009D0201" w:rsidRDefault="00575F28" w:rsidP="009D0201">
            <w:pPr>
              <w:pStyle w:val="Paragraphedeliste"/>
              <w:numPr>
                <w:ilvl w:val="0"/>
                <w:numId w:val="14"/>
              </w:numPr>
              <w:tabs>
                <w:tab w:val="left" w:pos="9356"/>
              </w:tabs>
              <w:ind w:left="284" w:right="10" w:hanging="294"/>
              <w:rPr>
                <w:rFonts w:ascii="Arial" w:eastAsia="MS Mincho" w:hAnsi="Arial" w:cs="Arial"/>
                <w:sz w:val="18"/>
                <w:szCs w:val="18"/>
              </w:rPr>
            </w:pPr>
            <w:r w:rsidRPr="009D0201">
              <w:rPr>
                <w:rFonts w:ascii="Arial" w:eastAsia="MS Mincho" w:hAnsi="Arial" w:cs="Arial"/>
                <w:sz w:val="18"/>
                <w:szCs w:val="18"/>
              </w:rPr>
              <w:t>Comment les alliances éducatives (internes et externes à l’établissement) sont-elles développées pour coordonner les interventions (collectif de travail, réseau de partenaires, etc.) ?</w:t>
            </w:r>
          </w:p>
          <w:p w14:paraId="6AA66363" w14:textId="77777777" w:rsidR="00575F28" w:rsidRPr="009D0201" w:rsidRDefault="00575F28" w:rsidP="009D0201">
            <w:pPr>
              <w:pStyle w:val="Paragraphedeliste"/>
              <w:numPr>
                <w:ilvl w:val="0"/>
                <w:numId w:val="14"/>
              </w:numPr>
              <w:tabs>
                <w:tab w:val="left" w:pos="9356"/>
              </w:tabs>
              <w:ind w:left="284" w:right="10" w:hanging="294"/>
              <w:rPr>
                <w:rFonts w:ascii="Arial" w:eastAsia="MS Mincho" w:hAnsi="Arial" w:cs="Arial"/>
                <w:sz w:val="18"/>
                <w:szCs w:val="18"/>
              </w:rPr>
            </w:pPr>
            <w:r w:rsidRPr="009D0201">
              <w:rPr>
                <w:rFonts w:ascii="Arial" w:eastAsia="MS Mincho" w:hAnsi="Arial" w:cs="Arial"/>
                <w:sz w:val="18"/>
                <w:szCs w:val="18"/>
              </w:rPr>
              <w:t>Quelles actions spécifiques sont entreprises pour renforcer le lien et le dialogue avec les familles dans ces situations ?</w:t>
            </w:r>
          </w:p>
          <w:p w14:paraId="0C3FCD05" w14:textId="77777777" w:rsidR="00575F28" w:rsidRPr="00575F28" w:rsidRDefault="00575F28" w:rsidP="003305F1">
            <w:pPr>
              <w:tabs>
                <w:tab w:val="left" w:pos="9356"/>
              </w:tabs>
              <w:spacing w:before="60" w:after="60"/>
              <w:ind w:right="10"/>
              <w:rPr>
                <w:rFonts w:ascii="Arial" w:eastAsia="MS Mincho" w:hAnsi="Arial" w:cs="Arial"/>
                <w:b/>
                <w:color w:val="2AAC66"/>
                <w:sz w:val="18"/>
                <w:szCs w:val="18"/>
              </w:rPr>
            </w:pPr>
            <w:r w:rsidRPr="00575F28">
              <w:rPr>
                <w:rFonts w:ascii="Arial" w:eastAsia="MS Mincho" w:hAnsi="Arial" w:cs="Arial"/>
                <w:b/>
                <w:color w:val="2AAC66"/>
                <w:sz w:val="18"/>
                <w:szCs w:val="18"/>
              </w:rPr>
              <w:t>Remédier : offrir des solutions de raccrochage et de continuité du parcours de formation</w:t>
            </w:r>
          </w:p>
          <w:p w14:paraId="06A8FC8E" w14:textId="77777777" w:rsidR="00575F28" w:rsidRPr="009D0201" w:rsidRDefault="00575F28" w:rsidP="009D0201">
            <w:pPr>
              <w:pStyle w:val="Paragraphedeliste"/>
              <w:numPr>
                <w:ilvl w:val="0"/>
                <w:numId w:val="15"/>
              </w:numPr>
              <w:tabs>
                <w:tab w:val="left" w:pos="9356"/>
              </w:tabs>
              <w:ind w:left="284" w:right="10" w:hanging="294"/>
              <w:rPr>
                <w:rFonts w:ascii="Arial" w:eastAsia="MS Mincho" w:hAnsi="Arial" w:cs="Arial"/>
                <w:sz w:val="18"/>
                <w:szCs w:val="18"/>
              </w:rPr>
            </w:pPr>
            <w:r w:rsidRPr="009D0201">
              <w:rPr>
                <w:rFonts w:ascii="Arial" w:eastAsia="MS Mincho" w:hAnsi="Arial" w:cs="Arial"/>
                <w:sz w:val="18"/>
                <w:szCs w:val="18"/>
              </w:rPr>
              <w:t>Comment le droit au retour en formation initiale sous statut scolaire est-il facilité et organisé ?</w:t>
            </w:r>
          </w:p>
          <w:p w14:paraId="1BED8EDB" w14:textId="77777777" w:rsidR="00575F28" w:rsidRPr="009D0201" w:rsidRDefault="00575F28" w:rsidP="009D0201">
            <w:pPr>
              <w:pStyle w:val="Paragraphedeliste"/>
              <w:numPr>
                <w:ilvl w:val="0"/>
                <w:numId w:val="15"/>
              </w:numPr>
              <w:tabs>
                <w:tab w:val="left" w:pos="9356"/>
              </w:tabs>
              <w:ind w:left="284" w:right="10" w:hanging="294"/>
              <w:rPr>
                <w:rFonts w:ascii="Arial" w:eastAsia="MS Mincho" w:hAnsi="Arial" w:cs="Arial"/>
                <w:sz w:val="18"/>
                <w:szCs w:val="18"/>
              </w:rPr>
            </w:pPr>
            <w:r w:rsidRPr="009D0201">
              <w:rPr>
                <w:rFonts w:ascii="Arial" w:eastAsia="MS Mincho" w:hAnsi="Arial" w:cs="Arial"/>
                <w:sz w:val="18"/>
                <w:szCs w:val="18"/>
              </w:rPr>
              <w:t xml:space="preserve">Quelles modalités de coopération existent entre les équipes éducatives et les partenaires extérieurs (les acteurs de l’insertion et de l’emploi, les structures associatives, les collectivités, etc.) ? </w:t>
            </w:r>
          </w:p>
          <w:p w14:paraId="556D56CA" w14:textId="773C1B44" w:rsidR="00DB56D0" w:rsidRPr="006C3AA4" w:rsidRDefault="00DB56D0" w:rsidP="009F1970">
            <w:pPr>
              <w:widowControl w:val="0"/>
              <w:tabs>
                <w:tab w:val="left" w:pos="323"/>
              </w:tabs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24" w:space="0" w:color="2AAC66"/>
              <w:bottom w:val="nil"/>
              <w:right w:val="single" w:sz="24" w:space="0" w:color="EE7444"/>
            </w:tcBorders>
          </w:tcPr>
          <w:p w14:paraId="5EA7726D" w14:textId="77777777" w:rsidR="00FC266A" w:rsidRPr="00401CCB" w:rsidRDefault="00FC266A" w:rsidP="00865865">
            <w:pPr>
              <w:rPr>
                <w:rFonts w:asciiTheme="minorHAnsi" w:hAnsiTheme="minorHAnsi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24" w:space="0" w:color="EE7444"/>
              <w:left w:val="single" w:sz="24" w:space="0" w:color="EE7444"/>
              <w:bottom w:val="single" w:sz="24" w:space="0" w:color="EE7444"/>
              <w:right w:val="single" w:sz="24" w:space="0" w:color="EE7444"/>
            </w:tcBorders>
          </w:tcPr>
          <w:p w14:paraId="34159E0A" w14:textId="77777777" w:rsidR="004B73D9" w:rsidRPr="00401CCB" w:rsidRDefault="004B73D9" w:rsidP="00575F28">
            <w:pPr>
              <w:spacing w:before="60"/>
              <w:ind w:right="-105"/>
              <w:rPr>
                <w:rFonts w:ascii="Arial" w:hAnsi="Arial" w:cs="Arial"/>
                <w:b/>
                <w:color w:val="EE7444"/>
              </w:rPr>
            </w:pPr>
            <w:r w:rsidRPr="00401CCB">
              <w:rPr>
                <w:rFonts w:ascii="Arial" w:hAnsi="Arial" w:cs="Arial"/>
                <w:b/>
                <w:color w:val="EE7444"/>
              </w:rPr>
              <w:t xml:space="preserve">Exemples d’indicateurs </w:t>
            </w:r>
          </w:p>
          <w:p w14:paraId="3C5CA21A" w14:textId="77777777" w:rsidR="004B73D9" w:rsidRPr="00401CCB" w:rsidRDefault="004B73D9" w:rsidP="00575F28">
            <w:pPr>
              <w:spacing w:after="120"/>
              <w:ind w:right="-105"/>
              <w:rPr>
                <w:rFonts w:ascii="Arial" w:hAnsi="Arial" w:cs="Arial"/>
                <w:color w:val="EE7444"/>
              </w:rPr>
            </w:pPr>
            <w:proofErr w:type="gramStart"/>
            <w:r w:rsidRPr="00401CCB">
              <w:rPr>
                <w:rFonts w:ascii="Arial" w:hAnsi="Arial" w:cs="Arial"/>
                <w:b/>
                <w:color w:val="EE7444"/>
              </w:rPr>
              <w:t>de</w:t>
            </w:r>
            <w:proofErr w:type="gramEnd"/>
            <w:r w:rsidRPr="00401CCB">
              <w:rPr>
                <w:rFonts w:ascii="Arial" w:hAnsi="Arial" w:cs="Arial"/>
                <w:b/>
                <w:color w:val="EE7444"/>
              </w:rPr>
              <w:t xml:space="preserve"> suivi</w:t>
            </w:r>
            <w:r w:rsidRPr="00401CCB">
              <w:rPr>
                <w:rFonts w:ascii="Arial" w:hAnsi="Arial" w:cs="Arial"/>
                <w:color w:val="EE7444"/>
              </w:rPr>
              <w:t xml:space="preserve"> </w:t>
            </w:r>
          </w:p>
          <w:p w14:paraId="77B46DCB" w14:textId="77777777" w:rsidR="00494BCF" w:rsidRPr="00494BCF" w:rsidRDefault="00494BCF" w:rsidP="00575F28">
            <w:pPr>
              <w:widowControl w:val="0"/>
              <w:tabs>
                <w:tab w:val="left" w:pos="323"/>
              </w:tabs>
              <w:spacing w:after="60"/>
              <w:ind w:right="-105"/>
              <w:rPr>
                <w:rFonts w:ascii="Arial" w:eastAsia="MS Mincho" w:hAnsi="Arial" w:cs="Arial"/>
                <w:sz w:val="18"/>
                <w:szCs w:val="18"/>
              </w:rPr>
            </w:pPr>
            <w:r w:rsidRPr="00494BCF">
              <w:rPr>
                <w:rFonts w:ascii="Arial" w:eastAsia="MS Mincho" w:hAnsi="Arial" w:cs="Arial"/>
                <w:sz w:val="18"/>
                <w:szCs w:val="18"/>
              </w:rPr>
              <w:t>Indicateurs de suivi des élèves (exclusions, commissions, orientation, exclusions de PFMP…), absentéisme (taux, causes, type d’enseignement, formation, nombre de signalements…).</w:t>
            </w:r>
          </w:p>
          <w:p w14:paraId="5FE503BF" w14:textId="77777777" w:rsidR="00494BCF" w:rsidRPr="00494BCF" w:rsidRDefault="00494BCF" w:rsidP="00575F28">
            <w:pPr>
              <w:widowControl w:val="0"/>
              <w:tabs>
                <w:tab w:val="left" w:pos="323"/>
              </w:tabs>
              <w:spacing w:after="60"/>
              <w:ind w:right="-105"/>
              <w:rPr>
                <w:rFonts w:ascii="Arial" w:eastAsia="MS Mincho" w:hAnsi="Arial" w:cs="Arial"/>
                <w:sz w:val="18"/>
                <w:szCs w:val="18"/>
              </w:rPr>
            </w:pPr>
            <w:r w:rsidRPr="00494BCF">
              <w:rPr>
                <w:rFonts w:ascii="Arial" w:eastAsia="MS Mincho" w:hAnsi="Arial" w:cs="Arial"/>
                <w:sz w:val="18"/>
                <w:szCs w:val="18"/>
              </w:rPr>
              <w:t>Nombres de réunion GPDS/an</w:t>
            </w:r>
          </w:p>
          <w:p w14:paraId="6FCDB217" w14:textId="77777777" w:rsidR="00494BCF" w:rsidRPr="00494BCF" w:rsidRDefault="00494BCF" w:rsidP="00575F28">
            <w:pPr>
              <w:widowControl w:val="0"/>
              <w:tabs>
                <w:tab w:val="left" w:pos="323"/>
              </w:tabs>
              <w:spacing w:after="60"/>
              <w:ind w:right="-105"/>
              <w:rPr>
                <w:rFonts w:ascii="Arial" w:eastAsia="MS Mincho" w:hAnsi="Arial" w:cs="Arial"/>
                <w:sz w:val="18"/>
                <w:szCs w:val="18"/>
              </w:rPr>
            </w:pPr>
            <w:r w:rsidRPr="00494BCF">
              <w:rPr>
                <w:rFonts w:ascii="Arial" w:eastAsia="MS Mincho" w:hAnsi="Arial" w:cs="Arial"/>
                <w:sz w:val="18"/>
                <w:szCs w:val="18"/>
              </w:rPr>
              <w:t xml:space="preserve">% d’élèves identifiés avec des signaux faibles </w:t>
            </w:r>
          </w:p>
          <w:p w14:paraId="4136184A" w14:textId="77777777" w:rsidR="00494BCF" w:rsidRPr="00494BCF" w:rsidRDefault="00494BCF" w:rsidP="00575F28">
            <w:pPr>
              <w:widowControl w:val="0"/>
              <w:tabs>
                <w:tab w:val="left" w:pos="323"/>
              </w:tabs>
              <w:spacing w:after="60"/>
              <w:ind w:right="-105"/>
              <w:rPr>
                <w:rFonts w:ascii="Arial" w:eastAsia="MS Mincho" w:hAnsi="Arial" w:cs="Arial"/>
                <w:sz w:val="18"/>
                <w:szCs w:val="18"/>
              </w:rPr>
            </w:pPr>
            <w:r w:rsidRPr="00494BCF">
              <w:rPr>
                <w:rFonts w:ascii="Arial" w:eastAsia="MS Mincho" w:hAnsi="Arial" w:cs="Arial"/>
                <w:sz w:val="18"/>
                <w:szCs w:val="18"/>
              </w:rPr>
              <w:t xml:space="preserve">Nombre d’actions de sensibilisation mise en œuvre </w:t>
            </w:r>
          </w:p>
          <w:p w14:paraId="534E9324" w14:textId="7279FEF2" w:rsidR="00494BCF" w:rsidRPr="00494BCF" w:rsidRDefault="00494BCF" w:rsidP="00575F28">
            <w:pPr>
              <w:widowControl w:val="0"/>
              <w:tabs>
                <w:tab w:val="left" w:pos="323"/>
              </w:tabs>
              <w:spacing w:after="60"/>
              <w:ind w:right="-105"/>
              <w:rPr>
                <w:rFonts w:ascii="Arial" w:eastAsia="MS Mincho" w:hAnsi="Arial" w:cs="Arial"/>
                <w:sz w:val="18"/>
                <w:szCs w:val="18"/>
              </w:rPr>
            </w:pPr>
            <w:r w:rsidRPr="00494BCF">
              <w:rPr>
                <w:rFonts w:ascii="Arial" w:eastAsia="MS Mincho" w:hAnsi="Arial" w:cs="Arial"/>
                <w:sz w:val="18"/>
                <w:szCs w:val="18"/>
              </w:rPr>
              <w:t>Indicateurs relatif</w:t>
            </w:r>
            <w:r w:rsidR="00575F28">
              <w:rPr>
                <w:rFonts w:ascii="Arial" w:eastAsia="MS Mincho" w:hAnsi="Arial" w:cs="Arial"/>
                <w:sz w:val="18"/>
                <w:szCs w:val="18"/>
              </w:rPr>
              <w:t>s</w:t>
            </w:r>
            <w:r w:rsidRPr="00494BCF">
              <w:rPr>
                <w:rFonts w:ascii="Arial" w:eastAsia="MS Mincho" w:hAnsi="Arial" w:cs="Arial"/>
                <w:sz w:val="18"/>
                <w:szCs w:val="18"/>
              </w:rPr>
              <w:t xml:space="preserve"> aux élèves concernés par le décrochage scolaire et à l’obligation de formation (nombre en prévention, intervention, remédiation).</w:t>
            </w:r>
          </w:p>
          <w:p w14:paraId="086FB821" w14:textId="77777777" w:rsidR="00494BCF" w:rsidRPr="00494BCF" w:rsidRDefault="00494BCF" w:rsidP="00575F28">
            <w:pPr>
              <w:widowControl w:val="0"/>
              <w:tabs>
                <w:tab w:val="left" w:pos="323"/>
              </w:tabs>
              <w:spacing w:after="60"/>
              <w:rPr>
                <w:rFonts w:ascii="Arial" w:eastAsia="MS Mincho" w:hAnsi="Arial" w:cs="Arial"/>
                <w:sz w:val="18"/>
                <w:szCs w:val="18"/>
              </w:rPr>
            </w:pPr>
            <w:r w:rsidRPr="00494BCF">
              <w:rPr>
                <w:rFonts w:ascii="Arial" w:eastAsia="MS Mincho" w:hAnsi="Arial" w:cs="Arial"/>
                <w:sz w:val="18"/>
                <w:szCs w:val="18"/>
              </w:rPr>
              <w:t xml:space="preserve">Indicateurs d’accompagnement (nombre et rôle des acteurs impliqués, nombre d’actions menées). Nombres de partenaires mobilisés pour les situations de rupture, nombre de parcours individualisés mis en œuvre </w:t>
            </w:r>
          </w:p>
          <w:p w14:paraId="40F77A9E" w14:textId="77777777" w:rsidR="00494BCF" w:rsidRPr="00494BCF" w:rsidRDefault="00494BCF" w:rsidP="00575F28">
            <w:pPr>
              <w:widowControl w:val="0"/>
              <w:tabs>
                <w:tab w:val="left" w:pos="323"/>
              </w:tabs>
              <w:spacing w:after="60"/>
              <w:ind w:right="-105"/>
              <w:rPr>
                <w:rFonts w:ascii="Arial" w:eastAsia="MS Mincho" w:hAnsi="Arial" w:cs="Arial"/>
                <w:sz w:val="18"/>
                <w:szCs w:val="18"/>
              </w:rPr>
            </w:pPr>
            <w:r w:rsidRPr="00494BCF">
              <w:rPr>
                <w:rFonts w:ascii="Arial" w:eastAsia="MS Mincho" w:hAnsi="Arial" w:cs="Arial"/>
                <w:sz w:val="18"/>
                <w:szCs w:val="18"/>
              </w:rPr>
              <w:t>Indicateurs de présence (suite aux actions mises en place).</w:t>
            </w:r>
          </w:p>
          <w:p w14:paraId="496DE2AF" w14:textId="7127D4D0" w:rsidR="00BE65D0" w:rsidRPr="00401CCB" w:rsidRDefault="00494BCF" w:rsidP="00575F28">
            <w:pPr>
              <w:widowControl w:val="0"/>
              <w:tabs>
                <w:tab w:val="left" w:pos="323"/>
              </w:tabs>
              <w:spacing w:after="60"/>
              <w:ind w:right="-105"/>
              <w:rPr>
                <w:rFonts w:ascii="Arial" w:eastAsia="MS Mincho" w:hAnsi="Arial" w:cs="Arial"/>
                <w:sz w:val="18"/>
                <w:szCs w:val="18"/>
              </w:rPr>
            </w:pPr>
            <w:r w:rsidRPr="00494BCF">
              <w:rPr>
                <w:rFonts w:ascii="Arial" w:eastAsia="MS Mincho" w:hAnsi="Arial" w:cs="Arial"/>
                <w:sz w:val="18"/>
                <w:szCs w:val="18"/>
              </w:rPr>
              <w:t>Observations relatives à l’attitude des jeunes.</w:t>
            </w:r>
          </w:p>
        </w:tc>
      </w:tr>
    </w:tbl>
    <w:p w14:paraId="51D33BC2" w14:textId="77777777" w:rsidR="00084E79" w:rsidRPr="00084E79" w:rsidRDefault="00084E79" w:rsidP="00084E79">
      <w:pPr>
        <w:sectPr w:rsidR="00084E79" w:rsidRPr="00084E79" w:rsidSect="00575F28">
          <w:footerReference w:type="default" r:id="rId23"/>
          <w:pgSz w:w="16838" w:h="11906" w:orient="landscape"/>
          <w:pgMar w:top="329" w:right="1387" w:bottom="1" w:left="1134" w:header="567" w:footer="208" w:gutter="0"/>
          <w:cols w:space="708"/>
          <w:docGrid w:linePitch="360"/>
        </w:sectPr>
      </w:pPr>
    </w:p>
    <w:p w14:paraId="2CE76EA9" w14:textId="77777777" w:rsidR="00FC266A" w:rsidRPr="00401CCB" w:rsidRDefault="00FC266A"/>
    <w:tbl>
      <w:tblPr>
        <w:tblStyle w:val="Grilledutableau3"/>
        <w:tblW w:w="15593" w:type="dxa"/>
        <w:tblInd w:w="-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6"/>
        <w:gridCol w:w="7797"/>
      </w:tblGrid>
      <w:tr w:rsidR="00FC266A" w:rsidRPr="00401CCB" w14:paraId="7B439351" w14:textId="77777777" w:rsidTr="00FF44CD"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bottom w:val="single" w:sz="24" w:space="0" w:color="00B5C6"/>
              <w:right w:val="single" w:sz="24" w:space="0" w:color="00B5C6"/>
            </w:tcBorders>
            <w:shd w:val="pct20" w:color="00B5C6" w:fill="auto"/>
          </w:tcPr>
          <w:p w14:paraId="458D154C" w14:textId="77777777" w:rsidR="00FC266A" w:rsidRPr="00401CCB" w:rsidRDefault="00FC266A" w:rsidP="00865865">
            <w:pPr>
              <w:ind w:left="176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5076DE86" w14:textId="77777777" w:rsidR="00FC266A" w:rsidRPr="00401CCB" w:rsidRDefault="00FC266A" w:rsidP="00865865">
            <w:pPr>
              <w:rPr>
                <w:rFonts w:ascii="Arial" w:hAnsi="Arial" w:cs="Arial"/>
                <w:b/>
                <w:color w:val="00B5C6"/>
                <w:sz w:val="28"/>
                <w:szCs w:val="28"/>
              </w:rPr>
            </w:pPr>
            <w:proofErr w:type="spellStart"/>
            <w:r w:rsidRPr="00401CCB">
              <w:rPr>
                <w:rFonts w:ascii="Arial" w:hAnsi="Arial" w:cs="Arial"/>
                <w:b/>
                <w:color w:val="00B5C6"/>
                <w:sz w:val="44"/>
                <w:szCs w:val="44"/>
              </w:rPr>
              <w:t>Act</w:t>
            </w:r>
            <w:proofErr w:type="spellEnd"/>
            <w:r w:rsidRPr="00401CCB">
              <w:rPr>
                <w:rFonts w:ascii="Arial" w:hAnsi="Arial" w:cs="Arial"/>
                <w:b/>
                <w:color w:val="00B5C6"/>
              </w:rPr>
              <w:t xml:space="preserve"> </w:t>
            </w:r>
            <w:r w:rsidRPr="00401CCB">
              <w:rPr>
                <w:rFonts w:ascii="Arial" w:hAnsi="Arial" w:cs="Arial"/>
                <w:color w:val="00B5C6"/>
              </w:rPr>
              <w:t>Agir</w:t>
            </w:r>
          </w:p>
        </w:tc>
      </w:tr>
      <w:tr w:rsidR="00FC266A" w:rsidRPr="00401CCB" w14:paraId="065EBC34" w14:textId="77777777" w:rsidTr="00FF44CD">
        <w:trPr>
          <w:trHeight w:val="459"/>
        </w:trPr>
        <w:tc>
          <w:tcPr>
            <w:tcW w:w="15593" w:type="dxa"/>
            <w:gridSpan w:val="2"/>
            <w:tcBorders>
              <w:top w:val="single" w:sz="24" w:space="0" w:color="00B5C6"/>
              <w:left w:val="single" w:sz="24" w:space="0" w:color="00B5C6"/>
              <w:right w:val="single" w:sz="24" w:space="0" w:color="00B5C6"/>
            </w:tcBorders>
          </w:tcPr>
          <w:p w14:paraId="6A77860E" w14:textId="77777777" w:rsidR="00FC266A" w:rsidRPr="00401CCB" w:rsidRDefault="00FC266A" w:rsidP="00F5376E">
            <w:pPr>
              <w:widowControl w:val="0"/>
              <w:spacing w:before="60" w:after="60"/>
              <w:ind w:left="34"/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</w:pPr>
            <w:r w:rsidRPr="00401CCB">
              <w:rPr>
                <w:rFonts w:ascii="Arial" w:eastAsia="Times New Roman" w:hAnsi="Arial" w:cs="Arial"/>
                <w:b/>
                <w:color w:val="00B5C6"/>
                <w:w w:val="105"/>
                <w:sz w:val="32"/>
                <w:szCs w:val="32"/>
              </w:rPr>
              <w:t>Diagnostic partagé</w:t>
            </w:r>
          </w:p>
        </w:tc>
      </w:tr>
      <w:tr w:rsidR="00FC266A" w:rsidRPr="00401CCB" w14:paraId="526A1D9A" w14:textId="77777777" w:rsidTr="00FF44CD">
        <w:trPr>
          <w:trHeight w:val="1017"/>
        </w:trPr>
        <w:tc>
          <w:tcPr>
            <w:tcW w:w="7796" w:type="dxa"/>
            <w:tcBorders>
              <w:left w:val="single" w:sz="24" w:space="0" w:color="00B5C6"/>
            </w:tcBorders>
          </w:tcPr>
          <w:p w14:paraId="7B66C6B1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Points forts</w:t>
            </w:r>
          </w:p>
          <w:p w14:paraId="30E17029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398921C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1F2A2560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</w:tc>
        <w:tc>
          <w:tcPr>
            <w:tcW w:w="7797" w:type="dxa"/>
            <w:tcBorders>
              <w:right w:val="single" w:sz="24" w:space="0" w:color="00B5C6"/>
            </w:tcBorders>
          </w:tcPr>
          <w:p w14:paraId="2EE88840" w14:textId="60DDC6E9" w:rsidR="00FC266A" w:rsidRPr="00401CCB" w:rsidRDefault="00FF44CD" w:rsidP="00865865">
            <w:pPr>
              <w:widowControl w:val="0"/>
              <w:ind w:left="318"/>
              <w:rPr>
                <w:rFonts w:ascii="Arial" w:hAnsi="Arial" w:cs="Arial"/>
                <w:b/>
                <w:color w:val="EE7444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EE7444"/>
                <w:sz w:val="24"/>
                <w:szCs w:val="24"/>
              </w:rPr>
              <w:t>Axes d’amélioration</w:t>
            </w:r>
          </w:p>
          <w:p w14:paraId="29BFD7D1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3FC73B3A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5937F2CA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401CCB" w14:paraId="32B17154" w14:textId="77777777" w:rsidTr="00FF44CD">
        <w:trPr>
          <w:trHeight w:val="977"/>
        </w:trPr>
        <w:tc>
          <w:tcPr>
            <w:tcW w:w="15593" w:type="dxa"/>
            <w:gridSpan w:val="2"/>
            <w:tcBorders>
              <w:left w:val="single" w:sz="24" w:space="0" w:color="00B5C6"/>
              <w:right w:val="single" w:sz="24" w:space="0" w:color="00B5C6"/>
            </w:tcBorders>
          </w:tcPr>
          <w:p w14:paraId="1659DE5D" w14:textId="77777777" w:rsidR="00AA0CB0" w:rsidRPr="00401CCB" w:rsidRDefault="00AA0CB0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</w:p>
          <w:p w14:paraId="4BFE7E34" w14:textId="6284A925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951B81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951B81"/>
                <w:sz w:val="24"/>
                <w:szCs w:val="24"/>
              </w:rPr>
              <w:t>Objectifs</w:t>
            </w:r>
          </w:p>
          <w:p w14:paraId="7D3C61E2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>…</w:t>
            </w:r>
          </w:p>
          <w:p w14:paraId="108428DE" w14:textId="77777777" w:rsidR="00FC266A" w:rsidRPr="00401CCB" w:rsidRDefault="00FC266A" w:rsidP="00FC266A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 </w:t>
            </w:r>
          </w:p>
          <w:p w14:paraId="686896B2" w14:textId="77777777" w:rsidR="00FC266A" w:rsidRPr="00401CCB" w:rsidRDefault="00FC266A" w:rsidP="007B5ED0">
            <w:pPr>
              <w:numPr>
                <w:ilvl w:val="0"/>
                <w:numId w:val="2"/>
              </w:numPr>
              <w:ind w:left="743" w:right="62" w:hanging="218"/>
              <w:contextualSpacing/>
              <w:rPr>
                <w:rFonts w:ascii="Arial" w:hAnsi="Arial" w:cs="Arial"/>
                <w:w w:val="105"/>
              </w:rPr>
            </w:pPr>
            <w:r w:rsidRPr="00401CCB">
              <w:rPr>
                <w:rFonts w:ascii="Arial" w:hAnsi="Arial" w:cs="Arial"/>
                <w:w w:val="105"/>
              </w:rPr>
              <w:t xml:space="preserve"> </w:t>
            </w:r>
          </w:p>
          <w:p w14:paraId="76C79AA5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  <w:p w14:paraId="3920999A" w14:textId="77777777" w:rsidR="00AA0CB0" w:rsidRPr="00401CCB" w:rsidRDefault="00AA0CB0" w:rsidP="00AA0CB0">
            <w:pPr>
              <w:ind w:left="525" w:right="62"/>
              <w:contextualSpacing/>
              <w:rPr>
                <w:rFonts w:ascii="Arial" w:hAnsi="Arial" w:cs="Arial"/>
                <w:w w:val="105"/>
              </w:rPr>
            </w:pPr>
          </w:p>
        </w:tc>
      </w:tr>
      <w:tr w:rsidR="00FC266A" w:rsidRPr="001E0144" w14:paraId="2EBFEE35" w14:textId="77777777" w:rsidTr="00AA0CB0">
        <w:trPr>
          <w:trHeight w:val="3486"/>
        </w:trPr>
        <w:tc>
          <w:tcPr>
            <w:tcW w:w="15593" w:type="dxa"/>
            <w:gridSpan w:val="2"/>
            <w:tcBorders>
              <w:left w:val="single" w:sz="24" w:space="0" w:color="00B5C6"/>
              <w:bottom w:val="single" w:sz="24" w:space="0" w:color="00B5C6"/>
              <w:right w:val="single" w:sz="24" w:space="0" w:color="00B5C6"/>
            </w:tcBorders>
          </w:tcPr>
          <w:p w14:paraId="5C5568D3" w14:textId="77777777" w:rsidR="00FC266A" w:rsidRPr="00401CCB" w:rsidRDefault="00FC266A" w:rsidP="00865865">
            <w:pPr>
              <w:widowControl w:val="0"/>
              <w:ind w:left="318"/>
              <w:rPr>
                <w:rFonts w:ascii="Arial" w:hAnsi="Arial" w:cs="Arial"/>
                <w:b/>
                <w:color w:val="2AAC66"/>
                <w:sz w:val="24"/>
                <w:szCs w:val="24"/>
              </w:rPr>
            </w:pPr>
            <w:r w:rsidRPr="00401CCB">
              <w:rPr>
                <w:rFonts w:ascii="Arial" w:hAnsi="Arial" w:cs="Arial"/>
                <w:b/>
                <w:color w:val="2AAC66"/>
                <w:sz w:val="24"/>
                <w:szCs w:val="24"/>
              </w:rPr>
              <w:t>Actions</w:t>
            </w:r>
          </w:p>
          <w:p w14:paraId="53A3412A" w14:textId="77777777" w:rsidR="00FC266A" w:rsidRPr="00401CCB" w:rsidRDefault="00FC266A" w:rsidP="00865865">
            <w:pPr>
              <w:widowControl w:val="0"/>
              <w:ind w:left="318"/>
              <w:rPr>
                <w:rFonts w:ascii="Arial" w:eastAsia="Times New Roman" w:hAnsi="Arial" w:cs="Arial"/>
                <w:b/>
                <w:w w:val="105"/>
                <w:sz w:val="18"/>
                <w:szCs w:val="18"/>
              </w:rPr>
            </w:pPr>
          </w:p>
          <w:tbl>
            <w:tblPr>
              <w:tblStyle w:val="Grilledutableau3"/>
              <w:tblW w:w="14493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3011"/>
              <w:gridCol w:w="9214"/>
              <w:gridCol w:w="2268"/>
            </w:tblGrid>
            <w:tr w:rsidR="00FC266A" w:rsidRPr="00401CCB" w14:paraId="0E1A6BAF" w14:textId="77777777" w:rsidTr="00865865">
              <w:trPr>
                <w:trHeight w:val="157"/>
              </w:trPr>
              <w:tc>
                <w:tcPr>
                  <w:tcW w:w="3011" w:type="dxa"/>
                </w:tcPr>
                <w:p w14:paraId="3907D248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7C1AEED1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Éléments d’action</w:t>
                  </w:r>
                </w:p>
                <w:p w14:paraId="3048BFE3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w w:val="105"/>
                    </w:rPr>
                    <w:t>Pour chaque proposition, écrire le processus mis en œuvre avec un indicateur</w:t>
                  </w:r>
                </w:p>
              </w:tc>
              <w:tc>
                <w:tcPr>
                  <w:tcW w:w="2268" w:type="dxa"/>
                </w:tcPr>
                <w:p w14:paraId="71F639F5" w14:textId="77777777" w:rsidR="00FC266A" w:rsidRPr="00401CCB" w:rsidRDefault="00FC266A" w:rsidP="00865865">
                  <w:pPr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Dates clé</w:t>
                  </w:r>
                </w:p>
              </w:tc>
            </w:tr>
            <w:tr w:rsidR="00FC266A" w:rsidRPr="00401CCB" w14:paraId="302A1563" w14:textId="77777777" w:rsidTr="007B5ED0">
              <w:trPr>
                <w:trHeight w:val="410"/>
              </w:trPr>
              <w:tc>
                <w:tcPr>
                  <w:tcW w:w="3011" w:type="dxa"/>
                </w:tcPr>
                <w:p w14:paraId="26A1DFD5" w14:textId="77777777" w:rsidR="00FC266A" w:rsidRPr="00401CCB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</w:p>
              </w:tc>
              <w:tc>
                <w:tcPr>
                  <w:tcW w:w="9214" w:type="dxa"/>
                </w:tcPr>
                <w:p w14:paraId="2B14BE41" w14:textId="77777777" w:rsidR="00FC266A" w:rsidRPr="00401CCB" w:rsidRDefault="00FC266A" w:rsidP="00865865">
                  <w:pPr>
                    <w:widowControl w:val="0"/>
                    <w:ind w:left="317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55D38F37" w14:textId="77777777" w:rsidR="00FC266A" w:rsidRPr="00401CCB" w:rsidRDefault="00FC266A" w:rsidP="00865865">
                  <w:pPr>
                    <w:widowControl w:val="0"/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76D8412B" w14:textId="77777777" w:rsidTr="007B5ED0">
              <w:trPr>
                <w:trHeight w:val="423"/>
              </w:trPr>
              <w:tc>
                <w:tcPr>
                  <w:tcW w:w="3011" w:type="dxa"/>
                </w:tcPr>
                <w:p w14:paraId="598339BA" w14:textId="77777777" w:rsidR="00FC266A" w:rsidRPr="00AA0CB0" w:rsidRDefault="00FC266A" w:rsidP="007B5ED0">
                  <w:pPr>
                    <w:widowControl w:val="0"/>
                    <w:ind w:left="55"/>
                    <w:rPr>
                      <w:rFonts w:ascii="Arial" w:eastAsia="Times New Roman" w:hAnsi="Arial" w:cs="Arial"/>
                      <w:w w:val="105"/>
                    </w:rPr>
                  </w:pPr>
                  <w:r w:rsidRPr="00401CCB">
                    <w:rPr>
                      <w:rFonts w:ascii="Arial" w:eastAsia="Times New Roman" w:hAnsi="Arial" w:cs="Arial"/>
                      <w:b/>
                      <w:w w:val="105"/>
                    </w:rPr>
                    <w:t>…</w:t>
                  </w:r>
                  <w:r w:rsidRPr="00AA0CB0">
                    <w:rPr>
                      <w:rFonts w:ascii="Arial" w:eastAsia="Times New Roman" w:hAnsi="Arial" w:cs="Arial"/>
                      <w:w w:val="105"/>
                    </w:rPr>
                    <w:t xml:space="preserve"> </w:t>
                  </w:r>
                </w:p>
              </w:tc>
              <w:tc>
                <w:tcPr>
                  <w:tcW w:w="9214" w:type="dxa"/>
                </w:tcPr>
                <w:p w14:paraId="1A4A6858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3391AE4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  <w:tr w:rsidR="00FC266A" w:rsidRPr="00AA0CB0" w14:paraId="3C0FBDE1" w14:textId="77777777" w:rsidTr="007B5ED0">
              <w:trPr>
                <w:trHeight w:val="414"/>
              </w:trPr>
              <w:tc>
                <w:tcPr>
                  <w:tcW w:w="3011" w:type="dxa"/>
                </w:tcPr>
                <w:p w14:paraId="61490B3A" w14:textId="77777777" w:rsidR="00FC266A" w:rsidRPr="00AA0CB0" w:rsidRDefault="00FC266A" w:rsidP="00865865">
                  <w:pPr>
                    <w:widowControl w:val="0"/>
                    <w:ind w:left="55"/>
                    <w:rPr>
                      <w:rFonts w:ascii="Arial" w:eastAsia="Times New Roman" w:hAnsi="Arial" w:cs="Arial"/>
                      <w:b/>
                      <w:w w:val="105"/>
                    </w:rPr>
                  </w:pPr>
                </w:p>
              </w:tc>
              <w:tc>
                <w:tcPr>
                  <w:tcW w:w="9214" w:type="dxa"/>
                </w:tcPr>
                <w:p w14:paraId="4A408C9B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  <w:tc>
                <w:tcPr>
                  <w:tcW w:w="2268" w:type="dxa"/>
                </w:tcPr>
                <w:p w14:paraId="295EFCAA" w14:textId="77777777" w:rsidR="00FC266A" w:rsidRPr="00AA0CB0" w:rsidRDefault="00FC266A" w:rsidP="00865865">
                  <w:pPr>
                    <w:rPr>
                      <w:rFonts w:ascii="Arial" w:eastAsia="Times New Roman" w:hAnsi="Arial" w:cs="Arial"/>
                      <w:w w:val="105"/>
                    </w:rPr>
                  </w:pPr>
                </w:p>
              </w:tc>
            </w:tr>
          </w:tbl>
          <w:p w14:paraId="42F43C73" w14:textId="77777777" w:rsidR="00FC266A" w:rsidRPr="00AA0CB0" w:rsidRDefault="00FC266A" w:rsidP="00865865">
            <w:pPr>
              <w:widowControl w:val="0"/>
              <w:ind w:left="90"/>
              <w:rPr>
                <w:rFonts w:ascii="Arial" w:eastAsia="Times New Roman" w:hAnsi="Arial" w:cs="Arial"/>
                <w:b/>
                <w:color w:val="00B5C6"/>
                <w:w w:val="105"/>
                <w:sz w:val="28"/>
                <w:szCs w:val="28"/>
              </w:rPr>
            </w:pPr>
          </w:p>
        </w:tc>
      </w:tr>
    </w:tbl>
    <w:p w14:paraId="14222659" w14:textId="77777777" w:rsidR="00D4569F" w:rsidRDefault="00D4569F" w:rsidP="00A97672"/>
    <w:sectPr w:rsidR="00D4569F" w:rsidSect="007B5ED0">
      <w:pgSz w:w="16838" w:h="11906" w:orient="landscape"/>
      <w:pgMar w:top="706" w:right="1134" w:bottom="1134" w:left="1134" w:header="709" w:footer="9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FFDCC" w14:textId="77777777" w:rsidR="00FB5AEE" w:rsidRDefault="00FB5AEE" w:rsidP="00FC266A">
      <w:r>
        <w:separator/>
      </w:r>
    </w:p>
  </w:endnote>
  <w:endnote w:type="continuationSeparator" w:id="0">
    <w:p w14:paraId="3E30DE11" w14:textId="77777777" w:rsidR="00FB5AEE" w:rsidRDefault="00FB5AEE" w:rsidP="00FC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2CA6E" w14:textId="766D2E7A" w:rsidR="00FC266A" w:rsidRPr="001E1709" w:rsidRDefault="001B37E2" w:rsidP="00436D64">
    <w:pPr>
      <w:pStyle w:val="Pieddepage"/>
      <w:ind w:right="-739"/>
      <w:jc w:val="right"/>
      <w:rPr>
        <w:rFonts w:ascii="Cambria" w:hAnsi="Cambria"/>
        <w:b/>
        <w:color w:val="31849B"/>
      </w:rPr>
    </w:pPr>
    <w:r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A803A2" wp14:editId="5C68E5FA">
              <wp:simplePos x="0" y="0"/>
              <wp:positionH relativeFrom="column">
                <wp:posOffset>1140460</wp:posOffset>
              </wp:positionH>
              <wp:positionV relativeFrom="paragraph">
                <wp:posOffset>30342</wp:posOffset>
              </wp:positionV>
              <wp:extent cx="2231136" cy="598032"/>
              <wp:effectExtent l="0" t="0" r="0" b="0"/>
              <wp:wrapNone/>
              <wp:docPr id="2335" name="Zone de texte 2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1136" cy="59803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782134" w14:textId="46A6BFD0" w:rsidR="001B37E2" w:rsidRPr="001B37E2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Contributeurs : </w:t>
                          </w:r>
                          <w:r w:rsidR="00660471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b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ureau Dgesco </w:t>
                          </w:r>
                          <w:r w:rsidR="00DB56D0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C1-</w:t>
                          </w:r>
                          <w:r w:rsidR="00084E79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3</w:t>
                          </w:r>
                          <w:r w:rsidR="00817537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, b</w:t>
                          </w:r>
                          <w:r w:rsidR="00660471" w:rsidRPr="00660471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ureau de </w:t>
                          </w:r>
                          <w:r w:rsidR="00084E79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l’orientation et de la lutte contre le décrochage scolaire</w:t>
                          </w:r>
                        </w:p>
                        <w:p w14:paraId="5DA0C5BF" w14:textId="0DB40326" w:rsidR="00436D64" w:rsidRPr="001E1709" w:rsidRDefault="001B37E2" w:rsidP="001B37E2">
                          <w:pPr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</w:pP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Mise à jour </w:t>
                          </w:r>
                          <w:r w:rsidR="00B37D7D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>décembre</w:t>
                          </w:r>
                          <w:r w:rsidRPr="001B37E2">
                            <w:rPr>
                              <w:rFonts w:ascii="Calibri" w:hAnsi="Calibri"/>
                              <w:b/>
                              <w:color w:val="00B5C6"/>
                              <w:sz w:val="16"/>
                              <w:szCs w:val="28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803A2" id="_x0000_t202" coordsize="21600,21600" o:spt="202" path="m,l,21600r21600,l21600,xe">
              <v:stroke joinstyle="miter"/>
              <v:path gradientshapeok="t" o:connecttype="rect"/>
            </v:shapetype>
            <v:shape id="Zone de texte 2335" o:spid="_x0000_s1026" type="#_x0000_t202" style="position:absolute;left:0;text-align:left;margin-left:89.8pt;margin-top:2.4pt;width:175.7pt;height:4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" fillcolor="white [3201]" stroked="f" strokeweight=".5pt">
              <v:textbox>
                <w:txbxContent>
                  <w:p w14:paraId="2F782134" w14:textId="46A6BFD0" w:rsidR="001B37E2" w:rsidRPr="001B37E2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Contributeurs : </w:t>
                    </w:r>
                    <w:r w:rsidR="00660471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b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ureau Dgesco </w:t>
                    </w:r>
                    <w:r w:rsidR="00DB56D0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C1-</w:t>
                    </w:r>
                    <w:r w:rsidR="00084E79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3</w:t>
                    </w:r>
                    <w:r w:rsidR="00817537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, b</w:t>
                    </w:r>
                    <w:r w:rsidR="00660471" w:rsidRPr="00660471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ureau de </w:t>
                    </w:r>
                    <w:r w:rsidR="00084E79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l’orientation et de la lutte contre le décrochage scolaire</w:t>
                    </w:r>
                  </w:p>
                  <w:p w14:paraId="5DA0C5BF" w14:textId="0DB40326" w:rsidR="00436D64" w:rsidRPr="001E1709" w:rsidRDefault="001B37E2" w:rsidP="001B37E2">
                    <w:pPr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</w:pP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Mise à jour </w:t>
                    </w:r>
                    <w:r w:rsidR="00B37D7D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>décembre</w:t>
                    </w:r>
                    <w:r w:rsidRPr="001B37E2">
                      <w:rPr>
                        <w:rFonts w:ascii="Calibri" w:hAnsi="Calibri"/>
                        <w:b/>
                        <w:color w:val="00B5C6"/>
                        <w:sz w:val="16"/>
                        <w:szCs w:val="28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1E1709" w:rsidRPr="001E1709">
      <w:rPr>
        <w:rFonts w:ascii="Calibri" w:hAnsi="Calibri"/>
        <w:b/>
        <w:noProof/>
        <w:color w:val="31849B"/>
        <w:sz w:val="16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BB477" wp14:editId="4C528B2A">
              <wp:simplePos x="0" y="0"/>
              <wp:positionH relativeFrom="column">
                <wp:posOffset>66719</wp:posOffset>
              </wp:positionH>
              <wp:positionV relativeFrom="paragraph">
                <wp:posOffset>13704</wp:posOffset>
              </wp:positionV>
              <wp:extent cx="722630" cy="632800"/>
              <wp:effectExtent l="0" t="0" r="20320" b="15240"/>
              <wp:wrapNone/>
              <wp:docPr id="2336" name="Organigramme : Stockage à accès séquentiel 23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630" cy="632800"/>
                      </a:xfrm>
                      <a:prstGeom prst="flowChartMagneticTape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 w="19050">
                        <a:solidFill>
                          <a:srgbClr val="00B5C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52490" w14:textId="1D64ABFA" w:rsidR="001407FA" w:rsidRPr="00436D64" w:rsidRDefault="00DB56D0" w:rsidP="001407FA">
                          <w:pPr>
                            <w:jc w:val="center"/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2.1</w:t>
                          </w:r>
                          <w:r w:rsidR="00084E79">
                            <w:rPr>
                              <w:rFonts w:ascii="Marianne" w:hAnsi="Marianne"/>
                              <w:b/>
                              <w:color w:val="00B5C6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BB477" id="_x0000_t131" coordsize="21600,21600" o:spt="131" path="ar,,21600,21600,18685,18165,10677,21597l20990,21597r,-3432xe">
              <v:stroke joinstyle="miter"/>
              <v:path o:connecttype="rect" textboxrect="3163,3163,18437,18437"/>
            </v:shapetype>
            <v:shape id="Organigramme : Stockage à accès séquentiel 2336" o:spid="_x0000_s1027" type="#_x0000_t131" style="position:absolute;left:0;text-align:left;margin-left:5.25pt;margin-top:1.1pt;width:56.9pt;height:4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" fillcolor="white [3212]" strokecolor="#00b5c6" strokeweight="1.5pt">
              <v:fill opacity="0"/>
              <v:textbox>
                <w:txbxContent>
                  <w:p w14:paraId="0F952490" w14:textId="1D64ABFA" w:rsidR="001407FA" w:rsidRPr="00436D64" w:rsidRDefault="00DB56D0" w:rsidP="001407FA">
                    <w:pPr>
                      <w:jc w:val="center"/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</w:pPr>
                    <w:r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2.1</w:t>
                    </w:r>
                    <w:r w:rsidR="00084E79">
                      <w:rPr>
                        <w:rFonts w:ascii="Marianne" w:hAnsi="Marianne"/>
                        <w:b/>
                        <w:color w:val="00B5C6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436D64">
      <w:rPr>
        <w:noProof/>
        <w14:ligatures w14:val="standardContextual"/>
      </w:rPr>
      <w:drawing>
        <wp:inline distT="0" distB="0" distL="0" distR="0" wp14:anchorId="61F23456" wp14:editId="07F6ABD9">
          <wp:extent cx="6028690" cy="677604"/>
          <wp:effectExtent l="0" t="0" r="0" b="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28690" cy="677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D22C" w14:textId="77777777" w:rsidR="00FB5AEE" w:rsidRDefault="00FB5AEE" w:rsidP="00FC266A">
      <w:bookmarkStart w:id="0" w:name="_Hlk215655429"/>
      <w:bookmarkEnd w:id="0"/>
      <w:r>
        <w:separator/>
      </w:r>
    </w:p>
  </w:footnote>
  <w:footnote w:type="continuationSeparator" w:id="0">
    <w:p w14:paraId="0D635D25" w14:textId="77777777" w:rsidR="00FB5AEE" w:rsidRDefault="00FB5AEE" w:rsidP="00FC2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4FA"/>
    <w:multiLevelType w:val="hybridMultilevel"/>
    <w:tmpl w:val="C94CF33A"/>
    <w:lvl w:ilvl="0" w:tplc="6E2E6784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3E98"/>
    <w:multiLevelType w:val="hybridMultilevel"/>
    <w:tmpl w:val="1B502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352F6"/>
    <w:multiLevelType w:val="hybridMultilevel"/>
    <w:tmpl w:val="03226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A29D1"/>
    <w:multiLevelType w:val="hybridMultilevel"/>
    <w:tmpl w:val="D39A68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B59B4"/>
    <w:multiLevelType w:val="hybridMultilevel"/>
    <w:tmpl w:val="41BAEA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85824"/>
    <w:multiLevelType w:val="hybridMultilevel"/>
    <w:tmpl w:val="64BCDF14"/>
    <w:lvl w:ilvl="0" w:tplc="4A446EB6">
      <w:numFmt w:val="bullet"/>
      <w:lvlText w:val="-"/>
      <w:lvlJc w:val="left"/>
      <w:pPr>
        <w:ind w:left="450" w:hanging="360"/>
      </w:pPr>
      <w:rPr>
        <w:rFonts w:ascii="Calibri" w:eastAsia="Calibri" w:hAnsi="Calibri" w:cs="Times New Roman" w:hint="default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26BE0AC0"/>
    <w:multiLevelType w:val="hybridMultilevel"/>
    <w:tmpl w:val="C5FC0D90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00549"/>
    <w:multiLevelType w:val="hybridMultilevel"/>
    <w:tmpl w:val="853A9DF2"/>
    <w:lvl w:ilvl="0" w:tplc="CD7E059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trike w:val="0"/>
        <w:color w:val="auto"/>
      </w:rPr>
    </w:lvl>
    <w:lvl w:ilvl="1" w:tplc="9968A5E8">
      <w:numFmt w:val="bullet"/>
      <w:lvlText w:val="•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2" w:tplc="278CA8C4">
      <w:numFmt w:val="bullet"/>
      <w:lvlText w:val="-"/>
      <w:lvlJc w:val="left"/>
      <w:pPr>
        <w:ind w:left="1890" w:hanging="360"/>
      </w:pPr>
      <w:rPr>
        <w:rFonts w:ascii="Calibri" w:eastAsia="Calibri" w:hAnsi="Calibri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1BE0CF0"/>
    <w:multiLevelType w:val="hybridMultilevel"/>
    <w:tmpl w:val="07686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33787"/>
    <w:multiLevelType w:val="hybridMultilevel"/>
    <w:tmpl w:val="D004D0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84A03"/>
    <w:multiLevelType w:val="hybridMultilevel"/>
    <w:tmpl w:val="07EAE14C"/>
    <w:lvl w:ilvl="0" w:tplc="AA0879EA">
      <w:start w:val="1"/>
      <w:numFmt w:val="decimal"/>
      <w:pStyle w:val="Titre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F837F4"/>
    <w:multiLevelType w:val="hybridMultilevel"/>
    <w:tmpl w:val="B4A0DC6C"/>
    <w:lvl w:ilvl="0" w:tplc="CD7E0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D36C8D"/>
    <w:multiLevelType w:val="hybridMultilevel"/>
    <w:tmpl w:val="6BF2B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E2131"/>
    <w:multiLevelType w:val="hybridMultilevel"/>
    <w:tmpl w:val="394C6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E26C45"/>
    <w:multiLevelType w:val="hybridMultilevel"/>
    <w:tmpl w:val="B866BFB6"/>
    <w:lvl w:ilvl="0" w:tplc="28AE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772443">
    <w:abstractNumId w:val="10"/>
  </w:num>
  <w:num w:numId="2" w16cid:durableId="1496527722">
    <w:abstractNumId w:val="0"/>
  </w:num>
  <w:num w:numId="3" w16cid:durableId="1942570898">
    <w:abstractNumId w:val="7"/>
  </w:num>
  <w:num w:numId="4" w16cid:durableId="8222907">
    <w:abstractNumId w:val="13"/>
  </w:num>
  <w:num w:numId="5" w16cid:durableId="2008701794">
    <w:abstractNumId w:val="8"/>
  </w:num>
  <w:num w:numId="6" w16cid:durableId="514928024">
    <w:abstractNumId w:val="6"/>
  </w:num>
  <w:num w:numId="7" w16cid:durableId="369577301">
    <w:abstractNumId w:val="14"/>
  </w:num>
  <w:num w:numId="8" w16cid:durableId="1352150428">
    <w:abstractNumId w:val="12"/>
  </w:num>
  <w:num w:numId="9" w16cid:durableId="610284317">
    <w:abstractNumId w:val="5"/>
  </w:num>
  <w:num w:numId="10" w16cid:durableId="971638984">
    <w:abstractNumId w:val="1"/>
  </w:num>
  <w:num w:numId="11" w16cid:durableId="526454694">
    <w:abstractNumId w:val="2"/>
  </w:num>
  <w:num w:numId="12" w16cid:durableId="944579204">
    <w:abstractNumId w:val="11"/>
  </w:num>
  <w:num w:numId="13" w16cid:durableId="328948512">
    <w:abstractNumId w:val="9"/>
  </w:num>
  <w:num w:numId="14" w16cid:durableId="1852715758">
    <w:abstractNumId w:val="4"/>
  </w:num>
  <w:num w:numId="15" w16cid:durableId="72558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6A"/>
    <w:rsid w:val="00013D86"/>
    <w:rsid w:val="00084E79"/>
    <w:rsid w:val="000850E8"/>
    <w:rsid w:val="000A1EDB"/>
    <w:rsid w:val="000A6FED"/>
    <w:rsid w:val="000B25F5"/>
    <w:rsid w:val="000C032B"/>
    <w:rsid w:val="000F4D07"/>
    <w:rsid w:val="0012632A"/>
    <w:rsid w:val="00127EA9"/>
    <w:rsid w:val="0013428E"/>
    <w:rsid w:val="001407FA"/>
    <w:rsid w:val="00143700"/>
    <w:rsid w:val="001A4A6A"/>
    <w:rsid w:val="001B37E2"/>
    <w:rsid w:val="001E1709"/>
    <w:rsid w:val="00224C3B"/>
    <w:rsid w:val="002515C9"/>
    <w:rsid w:val="002838D7"/>
    <w:rsid w:val="00287D65"/>
    <w:rsid w:val="002A5DE8"/>
    <w:rsid w:val="002B1FB6"/>
    <w:rsid w:val="002C352C"/>
    <w:rsid w:val="00300E11"/>
    <w:rsid w:val="003305F1"/>
    <w:rsid w:val="003426AD"/>
    <w:rsid w:val="003542EE"/>
    <w:rsid w:val="003B2904"/>
    <w:rsid w:val="003F19AB"/>
    <w:rsid w:val="00401CCB"/>
    <w:rsid w:val="00436D64"/>
    <w:rsid w:val="00464261"/>
    <w:rsid w:val="00484223"/>
    <w:rsid w:val="00494BCF"/>
    <w:rsid w:val="004B62D6"/>
    <w:rsid w:val="004B73D9"/>
    <w:rsid w:val="004C5166"/>
    <w:rsid w:val="004D6944"/>
    <w:rsid w:val="0055112B"/>
    <w:rsid w:val="00575F28"/>
    <w:rsid w:val="005C5483"/>
    <w:rsid w:val="0065494F"/>
    <w:rsid w:val="00660471"/>
    <w:rsid w:val="00662A18"/>
    <w:rsid w:val="00676758"/>
    <w:rsid w:val="00693520"/>
    <w:rsid w:val="006A784C"/>
    <w:rsid w:val="006B3050"/>
    <w:rsid w:val="006C2652"/>
    <w:rsid w:val="006C3AA4"/>
    <w:rsid w:val="0074412C"/>
    <w:rsid w:val="00755A33"/>
    <w:rsid w:val="007B5ED0"/>
    <w:rsid w:val="00817537"/>
    <w:rsid w:val="00830716"/>
    <w:rsid w:val="00863C62"/>
    <w:rsid w:val="008702A8"/>
    <w:rsid w:val="00871D88"/>
    <w:rsid w:val="008F4D8F"/>
    <w:rsid w:val="00902070"/>
    <w:rsid w:val="00905628"/>
    <w:rsid w:val="009D0201"/>
    <w:rsid w:val="009E77A4"/>
    <w:rsid w:val="009F1970"/>
    <w:rsid w:val="00A229F4"/>
    <w:rsid w:val="00A97672"/>
    <w:rsid w:val="00AA0CB0"/>
    <w:rsid w:val="00AA2D02"/>
    <w:rsid w:val="00AA5A91"/>
    <w:rsid w:val="00AC414F"/>
    <w:rsid w:val="00B04563"/>
    <w:rsid w:val="00B24E14"/>
    <w:rsid w:val="00B37D7D"/>
    <w:rsid w:val="00B44C13"/>
    <w:rsid w:val="00B4659B"/>
    <w:rsid w:val="00B65C50"/>
    <w:rsid w:val="00BC2A6A"/>
    <w:rsid w:val="00BD0C56"/>
    <w:rsid w:val="00BE65D0"/>
    <w:rsid w:val="00CC73DE"/>
    <w:rsid w:val="00D00107"/>
    <w:rsid w:val="00D04DB2"/>
    <w:rsid w:val="00D403B1"/>
    <w:rsid w:val="00D4569F"/>
    <w:rsid w:val="00D468E4"/>
    <w:rsid w:val="00D7761A"/>
    <w:rsid w:val="00DB56D0"/>
    <w:rsid w:val="00E033AF"/>
    <w:rsid w:val="00E368D5"/>
    <w:rsid w:val="00E67071"/>
    <w:rsid w:val="00EC7CC9"/>
    <w:rsid w:val="00F5376E"/>
    <w:rsid w:val="00F70AC2"/>
    <w:rsid w:val="00FB0D15"/>
    <w:rsid w:val="00FB5AEE"/>
    <w:rsid w:val="00FC266A"/>
    <w:rsid w:val="00FD13A8"/>
    <w:rsid w:val="00FE19B6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C5B4"/>
  <w15:docId w15:val="{0812FD02-BC8D-455E-9C94-7CBA9095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A9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0F4D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next w:val="Sansinterligne"/>
    <w:link w:val="Titre2Car"/>
    <w:uiPriority w:val="9"/>
    <w:unhideWhenUsed/>
    <w:qFormat/>
    <w:rsid w:val="00FC266A"/>
    <w:pPr>
      <w:keepNext/>
      <w:keepLines/>
      <w:numPr>
        <w:numId w:val="1"/>
      </w:numPr>
      <w:spacing w:before="80" w:after="0" w:line="240" w:lineRule="auto"/>
      <w:ind w:left="737" w:hanging="737"/>
      <w:outlineLvl w:val="1"/>
    </w:pPr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266A"/>
    <w:rPr>
      <w:rFonts w:ascii="Calibri" w:eastAsia="Times New Roman" w:hAnsi="Calibri" w:cs="Times New Roman"/>
      <w:b/>
      <w:bCs/>
      <w:color w:val="00B5C6"/>
      <w:sz w:val="44"/>
      <w:szCs w:val="26"/>
      <w:lang w:val="en-US"/>
    </w:rPr>
  </w:style>
  <w:style w:type="table" w:customStyle="1" w:styleId="Grilledutableau2">
    <w:name w:val="Grille du tableau2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C26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  <w:style w:type="table" w:styleId="Grilledutableau">
    <w:name w:val="Table Grid"/>
    <w:basedOn w:val="TableauNormal"/>
    <w:uiPriority w:val="59"/>
    <w:rsid w:val="00FC2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C26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C266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266A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26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66A"/>
    <w:rPr>
      <w:rFonts w:ascii="Tahoma" w:eastAsiaTheme="minorEastAsia" w:hAnsi="Tahoma" w:cs="Tahoma"/>
      <w:sz w:val="16"/>
      <w:szCs w:val="16"/>
      <w:lang w:eastAsia="ja-JP"/>
    </w:rPr>
  </w:style>
  <w:style w:type="paragraph" w:customStyle="1" w:styleId="Normal1">
    <w:name w:val="Normal1"/>
    <w:rsid w:val="00FC266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C414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F4D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styleId="Lienhypertexte">
    <w:name w:val="Hyperlink"/>
    <w:basedOn w:val="Policepardfaut"/>
    <w:uiPriority w:val="99"/>
    <w:unhideWhenUsed/>
    <w:rsid w:val="000F4D0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4D0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755A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5A33"/>
  </w:style>
  <w:style w:type="character" w:customStyle="1" w:styleId="CommentaireCar">
    <w:name w:val="Commentaire Car"/>
    <w:basedOn w:val="Policepardfaut"/>
    <w:link w:val="Commentaire"/>
    <w:uiPriority w:val="99"/>
    <w:semiHidden/>
    <w:rsid w:val="00755A33"/>
    <w:rPr>
      <w:rFonts w:ascii="Times New Roman" w:eastAsiaTheme="minorEastAsia" w:hAnsi="Times New Roman" w:cs="Times New Roman"/>
      <w:sz w:val="20"/>
      <w:szCs w:val="2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5A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5A33"/>
    <w:rPr>
      <w:rFonts w:ascii="Times New Roman" w:eastAsiaTheme="minorEastAsia" w:hAnsi="Times New Roman" w:cs="Times New Roman"/>
      <w:b/>
      <w:bCs/>
      <w:sz w:val="20"/>
      <w:szCs w:val="20"/>
      <w:lang w:eastAsia="ja-JP"/>
    </w:rPr>
  </w:style>
  <w:style w:type="paragraph" w:styleId="Rvision">
    <w:name w:val="Revision"/>
    <w:hidden/>
    <w:uiPriority w:val="99"/>
    <w:semiHidden/>
    <w:rsid w:val="00755A3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Code.do;jsessionid=B83FC44F62A9CD9389EEC1A5395E9E0E.tplgfr42s_1?idSectionTA=LEGISCTA000038901962&amp;cidTexte=LEGITEXT000006071191&amp;dateTexte=20200901" TargetMode="External"/><Relationship Id="rId13" Type="http://schemas.openxmlformats.org/officeDocument/2006/relationships/hyperlink" Target="https://www.legifrance.gouv.fr/affichCode.do;jsessionid=6649617AA46DB48F45B20FDA3B5C1421.tpdila16v_2?idSectionTA=LEGISCTA000006166600&amp;cidTexte=LEGITEXT000006071191" TargetMode="External"/><Relationship Id="rId18" Type="http://schemas.openxmlformats.org/officeDocument/2006/relationships/hyperlink" Target="http://www.education.gouv.fr/pid25535/bulletin_officiel.html?cid_bo=86719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affichCodeArticle.do;jsessionid=547BC46B97F2616E7C589D3B3C5BB78A.tpdila22v_3?idArticle=LEGIARTI000031599155&amp;cidTexte=LEGITEXT000006071191&amp;dateTexte=20170426&amp;categorieLien=id&amp;oldAction=" TargetMode="External"/><Relationship Id="rId17" Type="http://schemas.openxmlformats.org/officeDocument/2006/relationships/hyperlink" Target="http://www.education.gouv.fr/pid25535/bulletin_officiel.html?cid_bo=8437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ducation.gouv.fr/pid25535/bulletin_officiel.html?cid_bo=71326" TargetMode="External"/><Relationship Id="rId20" Type="http://schemas.openxmlformats.org/officeDocument/2006/relationships/hyperlink" Target="https://www.education.gouv.fr/bo/2023/Hebdo29/MENE2315401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CodeArticle.do?idArticle=LEGIARTI000028698969&amp;cidTexte=LEGITEXT000006071191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ducation.gouv.fr/cid54962/mene1101811c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legifrance.gouv.fr/affichCodeArticle.do?idArticle=LEGIARTI000018127417&amp;cidTexte=LEGITEXT000006071191" TargetMode="External"/><Relationship Id="rId19" Type="http://schemas.openxmlformats.org/officeDocument/2006/relationships/hyperlink" Target="http://www.education.gouv.fr/pid285/bulletin_officiel.html?cid_bo=1154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Code.do;jsessionid=8D9E04E7F41BE635F424E986406ECF9F.tpdila22v_3?idSectionTA=LEGISCTA000006166562&amp;cidTexte=LEGITEXT000006071191" TargetMode="External"/><Relationship Id="rId14" Type="http://schemas.openxmlformats.org/officeDocument/2006/relationships/hyperlink" Target="http://www.education.gouv.fr/cid28356/mene0900412j.html" TargetMode="External"/><Relationship Id="rId22" Type="http://schemas.openxmlformats.org/officeDocument/2006/relationships/hyperlink" Target="http://reviensteformer.gouv.f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F2DD-176E-44D6-ADBD-59E08BA6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1252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DGESCO A22</dc:creator>
  <cp:lastModifiedBy>AGNES MILLER</cp:lastModifiedBy>
  <cp:revision>9</cp:revision>
  <dcterms:created xsi:type="dcterms:W3CDTF">2026-01-22T12:58:00Z</dcterms:created>
  <dcterms:modified xsi:type="dcterms:W3CDTF">2026-01-27T10:42:00Z</dcterms:modified>
</cp:coreProperties>
</file>