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454" w:type="dxa"/>
        <w:tblInd w:w="-732" w:type="dxa"/>
        <w:tblLayout w:type="fixed"/>
        <w:tblLook w:val="04A0" w:firstRow="1" w:lastRow="0" w:firstColumn="1" w:lastColumn="0" w:noHBand="0" w:noVBand="1"/>
      </w:tblPr>
      <w:tblGrid>
        <w:gridCol w:w="2410"/>
        <w:gridCol w:w="284"/>
        <w:gridCol w:w="10206"/>
        <w:gridCol w:w="283"/>
        <w:gridCol w:w="26"/>
        <w:gridCol w:w="2668"/>
        <w:gridCol w:w="577"/>
      </w:tblGrid>
      <w:tr w:rsidR="00AC414F" w:rsidRPr="00401CCB" w14:paraId="75457DC7" w14:textId="77777777" w:rsidTr="00834341">
        <w:trPr>
          <w:trHeight w:hRule="exact" w:val="890"/>
        </w:trPr>
        <w:tc>
          <w:tcPr>
            <w:tcW w:w="12900"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3880A523" w14:textId="1FCD677B" w:rsidR="00E92E4C" w:rsidRPr="006D1CF6" w:rsidRDefault="00E92E4C" w:rsidP="008F3D0F">
            <w:pPr>
              <w:pStyle w:val="Titre2"/>
              <w:numPr>
                <w:ilvl w:val="0"/>
                <w:numId w:val="0"/>
              </w:numPr>
              <w:spacing w:before="40" w:after="40"/>
              <w:rPr>
                <w:rFonts w:ascii="Arial" w:hAnsi="Arial" w:cs="Arial"/>
                <w:sz w:val="30"/>
                <w:szCs w:val="30"/>
                <w:lang w:val="fr-FR"/>
              </w:rPr>
            </w:pPr>
            <w:r w:rsidRPr="006D1CF6">
              <w:rPr>
                <w:rFonts w:ascii="Arial" w:hAnsi="Arial" w:cs="Arial"/>
                <w:sz w:val="30"/>
                <w:szCs w:val="30"/>
                <w:lang w:val="fr-FR"/>
              </w:rPr>
              <w:t>1.</w:t>
            </w:r>
            <w:r w:rsidR="00344CC4">
              <w:rPr>
                <w:rFonts w:ascii="Arial" w:hAnsi="Arial" w:cs="Arial"/>
                <w:sz w:val="30"/>
                <w:szCs w:val="30"/>
                <w:lang w:val="fr-FR"/>
              </w:rPr>
              <w:t>1</w:t>
            </w:r>
            <w:r w:rsidRPr="006D1CF6">
              <w:rPr>
                <w:rFonts w:ascii="Arial" w:hAnsi="Arial" w:cs="Arial"/>
                <w:sz w:val="30"/>
                <w:szCs w:val="30"/>
                <w:lang w:val="fr-FR"/>
              </w:rPr>
              <w:t xml:space="preserve"> </w:t>
            </w:r>
            <w:r w:rsidR="00344CC4" w:rsidRPr="00344CC4">
              <w:rPr>
                <w:rFonts w:ascii="Arial" w:hAnsi="Arial" w:cs="Arial"/>
                <w:sz w:val="30"/>
                <w:szCs w:val="30"/>
                <w:lang w:val="fr-FR"/>
              </w:rPr>
              <w:t xml:space="preserve">Analyser </w:t>
            </w:r>
            <w:r w:rsidR="00344CC4" w:rsidRPr="005D2F6B">
              <w:rPr>
                <w:rFonts w:ascii="Arial" w:hAnsi="Arial" w:cs="Arial"/>
                <w:sz w:val="30"/>
                <w:szCs w:val="30"/>
                <w:lang w:val="fr-FR"/>
              </w:rPr>
              <w:t>les pratiques</w:t>
            </w:r>
            <w:r w:rsidR="00344CC4" w:rsidRPr="00344CC4">
              <w:rPr>
                <w:rFonts w:ascii="Arial" w:hAnsi="Arial" w:cs="Arial"/>
                <w:sz w:val="30"/>
                <w:szCs w:val="30"/>
                <w:lang w:val="fr-FR"/>
              </w:rPr>
              <w:t xml:space="preserve"> pédagogiques mises en œuvre dans l’établissement</w:t>
            </w:r>
          </w:p>
          <w:p w14:paraId="3B0F9B2F" w14:textId="1D44200A" w:rsidR="00127EA9" w:rsidRPr="00127EA9" w:rsidRDefault="00344CC4" w:rsidP="00344CC4">
            <w:pPr>
              <w:pStyle w:val="Sansinterligne"/>
              <w:rPr>
                <w:rFonts w:ascii="Arial" w:hAnsi="Arial" w:cs="Arial"/>
                <w:sz w:val="14"/>
                <w:szCs w:val="14"/>
              </w:rPr>
            </w:pPr>
            <w:r w:rsidRPr="00AF58C6">
              <w:rPr>
                <w:rFonts w:ascii="Arial" w:hAnsi="Arial" w:cs="Arial"/>
                <w:sz w:val="14"/>
                <w:szCs w:val="14"/>
              </w:rPr>
              <w:t xml:space="preserve">Code de l’éducation : </w:t>
            </w:r>
            <w:hyperlink r:id="rId8" w:history="1">
              <w:r w:rsidRPr="00AF58C6">
                <w:rPr>
                  <w:rStyle w:val="Lienhypertexte"/>
                  <w:rFonts w:ascii="Arial" w:hAnsi="Arial" w:cs="Arial"/>
                  <w:sz w:val="14"/>
                  <w:szCs w:val="14"/>
                </w:rPr>
                <w:t>articles R421-41-1 à R421-41-6</w:t>
              </w:r>
            </w:hyperlink>
            <w:r w:rsidRPr="00AF58C6">
              <w:rPr>
                <w:rFonts w:ascii="Arial" w:hAnsi="Arial" w:cs="Arial"/>
                <w:sz w:val="14"/>
                <w:szCs w:val="14"/>
              </w:rPr>
              <w:t xml:space="preserve"> (conseil pédagogique)</w:t>
            </w:r>
            <w:r w:rsidRPr="00AF58C6">
              <w:rPr>
                <w:rFonts w:ascii="Arial" w:hAnsi="Arial" w:cs="Arial"/>
                <w:color w:val="FF0000"/>
                <w:sz w:val="14"/>
                <w:szCs w:val="14"/>
              </w:rPr>
              <w:t> </w:t>
            </w:r>
            <w:r w:rsidRPr="00AF58C6">
              <w:rPr>
                <w:rFonts w:ascii="Arial" w:hAnsi="Arial" w:cs="Arial"/>
                <w:sz w:val="14"/>
                <w:szCs w:val="14"/>
              </w:rPr>
              <w:t xml:space="preserve">; </w:t>
            </w:r>
            <w:hyperlink r:id="rId9" w:history="1">
              <w:r w:rsidRPr="00AF58C6">
                <w:rPr>
                  <w:rStyle w:val="Lienhypertexte"/>
                  <w:rFonts w:ascii="Arial" w:hAnsi="Arial" w:cs="Arial"/>
                  <w:sz w:val="14"/>
                  <w:szCs w:val="14"/>
                </w:rPr>
                <w:t>articles L241-12 à L241-14</w:t>
              </w:r>
            </w:hyperlink>
            <w:r w:rsidRPr="00AF58C6">
              <w:rPr>
                <w:rFonts w:ascii="Arial" w:hAnsi="Arial" w:cs="Arial"/>
                <w:sz w:val="14"/>
                <w:szCs w:val="14"/>
              </w:rPr>
              <w:t xml:space="preserve"> (conseil d’évaluation de l’école)</w:t>
            </w:r>
            <w:r w:rsidRPr="00AF58C6">
              <w:rPr>
                <w:rFonts w:ascii="Arial" w:hAnsi="Arial" w:cs="Arial"/>
                <w:color w:val="FF0000"/>
                <w:sz w:val="14"/>
                <w:szCs w:val="14"/>
              </w:rPr>
              <w:t xml:space="preserve"> </w:t>
            </w:r>
            <w:hyperlink r:id="rId10" w:history="1">
              <w:r w:rsidRPr="00AF58C6">
                <w:rPr>
                  <w:rStyle w:val="Lienhypertexte"/>
                  <w:rFonts w:ascii="Arial" w:hAnsi="Arial" w:cs="Arial"/>
                  <w:sz w:val="14"/>
                  <w:szCs w:val="14"/>
                </w:rPr>
                <w:t>article L311-1</w:t>
              </w:r>
            </w:hyperlink>
            <w:r w:rsidRPr="00AF58C6">
              <w:rPr>
                <w:rStyle w:val="Lienhypertexte"/>
                <w:rFonts w:ascii="Arial" w:hAnsi="Arial" w:cs="Arial"/>
                <w:sz w:val="14"/>
                <w:szCs w:val="14"/>
              </w:rPr>
              <w:t xml:space="preserve"> </w:t>
            </w:r>
            <w:r w:rsidRPr="00AF58C6">
              <w:rPr>
                <w:rFonts w:ascii="Arial" w:hAnsi="Arial" w:cs="Arial"/>
                <w:sz w:val="14"/>
                <w:szCs w:val="14"/>
              </w:rPr>
              <w:t xml:space="preserve">(évaluation au service des apprentissages) </w:t>
            </w:r>
          </w:p>
        </w:tc>
        <w:tc>
          <w:tcPr>
            <w:tcW w:w="309" w:type="dxa"/>
            <w:gridSpan w:val="2"/>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245" w:type="dxa"/>
            <w:gridSpan w:val="2"/>
            <w:tcBorders>
              <w:top w:val="nil"/>
              <w:left w:val="nil"/>
              <w:bottom w:val="nil"/>
              <w:right w:val="nil"/>
            </w:tcBorders>
            <w:shd w:val="clear" w:color="auto" w:fill="auto"/>
            <w:vAlign w:val="center"/>
          </w:tcPr>
          <w:p w14:paraId="70C5F499" w14:textId="77777777" w:rsidR="00FC266A" w:rsidRPr="00401CCB" w:rsidRDefault="00FC266A" w:rsidP="00DB56D0">
            <w:pPr>
              <w:ind w:left="-283" w:right="69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DB56D0" w:rsidRPr="00401CCB" w14:paraId="1407D6CA" w14:textId="77777777" w:rsidTr="00993767">
        <w:trPr>
          <w:gridAfter w:val="1"/>
          <w:wAfter w:w="577" w:type="dxa"/>
          <w:trHeight w:val="57"/>
        </w:trPr>
        <w:tc>
          <w:tcPr>
            <w:tcW w:w="2410"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10206"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83"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2694" w:type="dxa"/>
            <w:gridSpan w:val="2"/>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834341" w:rsidRPr="00401CCB" w14:paraId="07196ED3" w14:textId="77777777" w:rsidTr="00834341">
        <w:trPr>
          <w:gridAfter w:val="1"/>
          <w:wAfter w:w="577" w:type="dxa"/>
          <w:trHeight w:hRule="exact" w:val="573"/>
        </w:trPr>
        <w:tc>
          <w:tcPr>
            <w:tcW w:w="2410"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10206"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83"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2694"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DB56D0" w:rsidRPr="00401CCB" w14:paraId="179E3F19" w14:textId="77777777" w:rsidTr="00834341">
        <w:trPr>
          <w:gridAfter w:val="1"/>
          <w:wAfter w:w="577" w:type="dxa"/>
          <w:trHeight w:hRule="exact" w:val="8369"/>
        </w:trPr>
        <w:tc>
          <w:tcPr>
            <w:tcW w:w="2410"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5D2F6B" w:rsidRDefault="00FC266A" w:rsidP="00E92E4C">
            <w:pPr>
              <w:spacing w:before="60" w:after="120"/>
              <w:rPr>
                <w:rFonts w:ascii="Arial" w:hAnsi="Arial" w:cs="Arial"/>
                <w:b/>
                <w:color w:val="951B81"/>
              </w:rPr>
            </w:pPr>
            <w:r w:rsidRPr="005D2F6B">
              <w:rPr>
                <w:rFonts w:ascii="Arial" w:hAnsi="Arial" w:cs="Arial"/>
                <w:b/>
                <w:color w:val="951B81"/>
              </w:rPr>
              <w:t>Contexte, stratégie, sens, objectifs</w:t>
            </w:r>
          </w:p>
          <w:p w14:paraId="3B7A34FE" w14:textId="77777777" w:rsidR="00344CC4" w:rsidRPr="00AF58C6" w:rsidRDefault="00344CC4" w:rsidP="00344CC4">
            <w:pPr>
              <w:autoSpaceDE w:val="0"/>
              <w:autoSpaceDN w:val="0"/>
              <w:adjustRightInd w:val="0"/>
              <w:spacing w:after="60"/>
              <w:rPr>
                <w:rFonts w:ascii="Arial" w:hAnsi="Arial" w:cs="Arial"/>
                <w:sz w:val="18"/>
                <w:szCs w:val="18"/>
              </w:rPr>
            </w:pPr>
            <w:r w:rsidRPr="00AF58C6">
              <w:rPr>
                <w:rFonts w:ascii="Arial" w:hAnsi="Arial" w:cs="Arial"/>
                <w:sz w:val="18"/>
                <w:szCs w:val="18"/>
              </w:rPr>
              <w:t>La qualité des enseignements dépend du degré d’expertise disciplinaire ainsi que des compétences pédagogiques d</w:t>
            </w:r>
            <w:r>
              <w:rPr>
                <w:rFonts w:ascii="Arial" w:hAnsi="Arial" w:cs="Arial"/>
                <w:sz w:val="18"/>
                <w:szCs w:val="18"/>
              </w:rPr>
              <w:t>es</w:t>
            </w:r>
            <w:r w:rsidRPr="00AF58C6">
              <w:rPr>
                <w:rFonts w:ascii="Arial" w:hAnsi="Arial" w:cs="Arial"/>
                <w:sz w:val="18"/>
                <w:szCs w:val="18"/>
              </w:rPr>
              <w:t xml:space="preserve"> professeur</w:t>
            </w:r>
            <w:r>
              <w:rPr>
                <w:rFonts w:ascii="Arial" w:hAnsi="Arial" w:cs="Arial"/>
                <w:sz w:val="18"/>
                <w:szCs w:val="18"/>
              </w:rPr>
              <w:t>s</w:t>
            </w:r>
            <w:r w:rsidRPr="00AF58C6">
              <w:rPr>
                <w:rFonts w:ascii="Arial" w:hAnsi="Arial" w:cs="Arial"/>
                <w:sz w:val="18"/>
                <w:szCs w:val="18"/>
              </w:rPr>
              <w:t>, mais aussi :</w:t>
            </w:r>
          </w:p>
          <w:p w14:paraId="5A4FC69E" w14:textId="77777777" w:rsidR="00344CC4" w:rsidRPr="00AF58C6" w:rsidRDefault="00344CC4" w:rsidP="00344CC4">
            <w:pPr>
              <w:numPr>
                <w:ilvl w:val="0"/>
                <w:numId w:val="15"/>
              </w:numPr>
              <w:autoSpaceDE w:val="0"/>
              <w:autoSpaceDN w:val="0"/>
              <w:adjustRightInd w:val="0"/>
              <w:ind w:left="329" w:hanging="249"/>
              <w:rPr>
                <w:rFonts w:ascii="Arial" w:hAnsi="Arial" w:cs="Arial"/>
                <w:sz w:val="18"/>
                <w:szCs w:val="18"/>
              </w:rPr>
            </w:pPr>
            <w:proofErr w:type="gramStart"/>
            <w:r w:rsidRPr="00AF58C6">
              <w:rPr>
                <w:rFonts w:ascii="Arial" w:hAnsi="Arial" w:cs="Arial"/>
                <w:sz w:val="18"/>
                <w:szCs w:val="18"/>
              </w:rPr>
              <w:t>de</w:t>
            </w:r>
            <w:proofErr w:type="gramEnd"/>
            <w:r w:rsidRPr="00AF58C6">
              <w:rPr>
                <w:rFonts w:ascii="Arial" w:hAnsi="Arial" w:cs="Arial"/>
                <w:sz w:val="18"/>
                <w:szCs w:val="18"/>
              </w:rPr>
              <w:t xml:space="preserve"> l’adaptation de l’enseignement aux publics accueillis,</w:t>
            </w:r>
          </w:p>
          <w:p w14:paraId="41838D24" w14:textId="77777777" w:rsidR="00344CC4" w:rsidRPr="00AF58C6" w:rsidRDefault="00344CC4" w:rsidP="00344CC4">
            <w:pPr>
              <w:numPr>
                <w:ilvl w:val="0"/>
                <w:numId w:val="15"/>
              </w:numPr>
              <w:autoSpaceDE w:val="0"/>
              <w:autoSpaceDN w:val="0"/>
              <w:adjustRightInd w:val="0"/>
              <w:ind w:left="329" w:hanging="249"/>
              <w:rPr>
                <w:rFonts w:ascii="Arial" w:hAnsi="Arial" w:cs="Arial"/>
                <w:sz w:val="18"/>
                <w:szCs w:val="18"/>
              </w:rPr>
            </w:pPr>
            <w:proofErr w:type="gramStart"/>
            <w:r w:rsidRPr="00AF58C6">
              <w:rPr>
                <w:rFonts w:ascii="Arial" w:hAnsi="Arial" w:cs="Arial"/>
                <w:sz w:val="18"/>
                <w:szCs w:val="18"/>
              </w:rPr>
              <w:t>de</w:t>
            </w:r>
            <w:proofErr w:type="gramEnd"/>
            <w:r w:rsidRPr="00AF58C6">
              <w:rPr>
                <w:rFonts w:ascii="Arial" w:hAnsi="Arial" w:cs="Arial"/>
                <w:sz w:val="18"/>
                <w:szCs w:val="18"/>
              </w:rPr>
              <w:t xml:space="preserve"> la mise en cohérence des actions entres les équipes éducatives et pédagogiques,</w:t>
            </w:r>
          </w:p>
          <w:p w14:paraId="6ECA6D93" w14:textId="77777777" w:rsidR="00344CC4" w:rsidRPr="00AF58C6" w:rsidRDefault="00344CC4" w:rsidP="00344CC4">
            <w:pPr>
              <w:numPr>
                <w:ilvl w:val="0"/>
                <w:numId w:val="15"/>
              </w:numPr>
              <w:autoSpaceDE w:val="0"/>
              <w:autoSpaceDN w:val="0"/>
              <w:adjustRightInd w:val="0"/>
              <w:ind w:left="329" w:hanging="249"/>
              <w:rPr>
                <w:rFonts w:ascii="Arial" w:hAnsi="Arial" w:cs="Arial"/>
                <w:sz w:val="18"/>
                <w:szCs w:val="18"/>
              </w:rPr>
            </w:pPr>
            <w:proofErr w:type="gramStart"/>
            <w:r w:rsidRPr="00AF58C6">
              <w:rPr>
                <w:rFonts w:ascii="Arial" w:hAnsi="Arial" w:cs="Arial"/>
                <w:sz w:val="18"/>
                <w:szCs w:val="18"/>
              </w:rPr>
              <w:t>de</w:t>
            </w:r>
            <w:proofErr w:type="gramEnd"/>
            <w:r w:rsidRPr="00AF58C6">
              <w:rPr>
                <w:rFonts w:ascii="Arial" w:hAnsi="Arial" w:cs="Arial"/>
                <w:sz w:val="18"/>
                <w:szCs w:val="18"/>
              </w:rPr>
              <w:t xml:space="preserve"> la prise en compte de l’alternance,</w:t>
            </w:r>
          </w:p>
          <w:p w14:paraId="66DA95E3" w14:textId="77777777" w:rsidR="00344CC4" w:rsidRPr="00AF58C6" w:rsidRDefault="00344CC4" w:rsidP="00344CC4">
            <w:pPr>
              <w:numPr>
                <w:ilvl w:val="0"/>
                <w:numId w:val="15"/>
              </w:numPr>
              <w:autoSpaceDE w:val="0"/>
              <w:autoSpaceDN w:val="0"/>
              <w:adjustRightInd w:val="0"/>
              <w:ind w:left="329" w:hanging="249"/>
              <w:rPr>
                <w:rFonts w:ascii="Arial" w:hAnsi="Arial" w:cs="Arial"/>
                <w:sz w:val="18"/>
                <w:szCs w:val="18"/>
              </w:rPr>
            </w:pPr>
            <w:proofErr w:type="gramStart"/>
            <w:r w:rsidRPr="00AF58C6">
              <w:rPr>
                <w:rFonts w:ascii="Arial" w:hAnsi="Arial" w:cs="Arial"/>
                <w:sz w:val="18"/>
                <w:szCs w:val="18"/>
              </w:rPr>
              <w:t>des</w:t>
            </w:r>
            <w:proofErr w:type="gramEnd"/>
            <w:r w:rsidRPr="00AF58C6">
              <w:rPr>
                <w:rFonts w:ascii="Arial" w:hAnsi="Arial" w:cs="Arial"/>
                <w:sz w:val="18"/>
                <w:szCs w:val="18"/>
              </w:rPr>
              <w:t xml:space="preserve"> conditions dans lesquelles les élèves apprennent.</w:t>
            </w:r>
          </w:p>
          <w:p w14:paraId="6AB51E79" w14:textId="77777777" w:rsidR="00344CC4" w:rsidRPr="00AF58C6" w:rsidRDefault="00344CC4" w:rsidP="00344CC4">
            <w:pPr>
              <w:autoSpaceDE w:val="0"/>
              <w:autoSpaceDN w:val="0"/>
              <w:adjustRightInd w:val="0"/>
              <w:rPr>
                <w:rFonts w:ascii="Arial" w:hAnsi="Arial" w:cs="Arial"/>
                <w:sz w:val="18"/>
                <w:szCs w:val="18"/>
              </w:rPr>
            </w:pPr>
          </w:p>
          <w:p w14:paraId="415EEF35" w14:textId="77777777" w:rsidR="00344CC4" w:rsidRDefault="00344CC4" w:rsidP="00344CC4">
            <w:pPr>
              <w:pStyle w:val="Paragraphedeliste"/>
              <w:widowControl w:val="0"/>
              <w:numPr>
                <w:ilvl w:val="0"/>
                <w:numId w:val="14"/>
              </w:numPr>
              <w:autoSpaceDE w:val="0"/>
              <w:autoSpaceDN w:val="0"/>
              <w:adjustRightInd w:val="0"/>
              <w:spacing w:after="120"/>
              <w:ind w:left="470" w:hanging="249"/>
              <w:rPr>
                <w:rFonts w:ascii="Arial" w:hAnsi="Arial" w:cs="Arial"/>
                <w:sz w:val="18"/>
                <w:szCs w:val="18"/>
              </w:rPr>
            </w:pPr>
            <w:r w:rsidRPr="00AF58C6">
              <w:rPr>
                <w:rFonts w:ascii="Arial" w:eastAsia="Calibri" w:hAnsi="Arial" w:cs="Arial"/>
                <w:sz w:val="18"/>
                <w:szCs w:val="18"/>
                <w:lang w:eastAsia="en-US"/>
              </w:rPr>
              <w:t>Comment la qualité des enseignements est-elle intégrée dans le projet d’établissement</w:t>
            </w:r>
            <w:r w:rsidRPr="00AF58C6">
              <w:rPr>
                <w:rFonts w:ascii="Arial" w:hAnsi="Arial" w:cs="Arial"/>
                <w:sz w:val="18"/>
                <w:szCs w:val="18"/>
              </w:rPr>
              <w:t> </w:t>
            </w:r>
            <w:r w:rsidRPr="00AF58C6">
              <w:rPr>
                <w:rFonts w:ascii="Arial" w:eastAsia="Calibri" w:hAnsi="Arial" w:cs="Arial"/>
                <w:sz w:val="18"/>
                <w:szCs w:val="18"/>
                <w:lang w:eastAsia="en-US"/>
              </w:rPr>
              <w:t>?</w:t>
            </w:r>
          </w:p>
          <w:p w14:paraId="720BA9A1" w14:textId="77777777" w:rsidR="00344CC4" w:rsidRPr="00AF58C6" w:rsidRDefault="00344CC4" w:rsidP="00344CC4">
            <w:pPr>
              <w:pStyle w:val="Paragraphedeliste"/>
              <w:autoSpaceDE w:val="0"/>
              <w:autoSpaceDN w:val="0"/>
              <w:adjustRightInd w:val="0"/>
              <w:ind w:left="471"/>
              <w:rPr>
                <w:rFonts w:ascii="Arial" w:eastAsia="Calibri" w:hAnsi="Arial" w:cs="Arial"/>
                <w:sz w:val="18"/>
                <w:szCs w:val="18"/>
                <w:lang w:eastAsia="en-US"/>
              </w:rPr>
            </w:pPr>
          </w:p>
          <w:p w14:paraId="5AB86FFF" w14:textId="1681BAD1" w:rsidR="00660471" w:rsidRPr="00344CC4" w:rsidRDefault="00344CC4" w:rsidP="00344CC4">
            <w:pPr>
              <w:pStyle w:val="Paragraphedeliste"/>
              <w:widowControl w:val="0"/>
              <w:numPr>
                <w:ilvl w:val="0"/>
                <w:numId w:val="14"/>
              </w:numPr>
              <w:autoSpaceDE w:val="0"/>
              <w:autoSpaceDN w:val="0"/>
              <w:adjustRightInd w:val="0"/>
              <w:spacing w:after="200"/>
              <w:ind w:left="471" w:hanging="249"/>
              <w:rPr>
                <w:rFonts w:ascii="Arial" w:eastAsia="Calibri" w:hAnsi="Arial" w:cs="Arial"/>
                <w:sz w:val="18"/>
                <w:szCs w:val="18"/>
                <w:lang w:eastAsia="en-US"/>
              </w:rPr>
            </w:pPr>
            <w:r w:rsidRPr="00AF58C6">
              <w:rPr>
                <w:rFonts w:ascii="Arial" w:eastAsia="Calibri" w:hAnsi="Arial" w:cs="Arial"/>
                <w:sz w:val="18"/>
                <w:szCs w:val="18"/>
                <w:lang w:eastAsia="en-US"/>
              </w:rPr>
              <w:t>Quelles instances sont mobilisées et quels temps de concertation permettent le partage et les échanges autour des pratiques pédagogique ?</w:t>
            </w: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84"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10206"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F1970">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 xml:space="preserve">Acteurs – </w:t>
            </w:r>
            <w:r w:rsidRPr="005D2F6B">
              <w:rPr>
                <w:rFonts w:ascii="Arial" w:hAnsi="Arial" w:cs="Arial"/>
                <w:b/>
                <w:color w:val="2AAC66"/>
              </w:rPr>
              <w:t>Actions – Moyens</w:t>
            </w:r>
            <w:r w:rsidRPr="00401CCB">
              <w:rPr>
                <w:rFonts w:ascii="Arial" w:hAnsi="Arial" w:cs="Arial"/>
                <w:b/>
                <w:color w:val="2AAC66"/>
              </w:rPr>
              <w:t xml:space="preserve"> – Temps</w:t>
            </w:r>
          </w:p>
          <w:p w14:paraId="545386D8" w14:textId="77777777" w:rsidR="007647F8" w:rsidRPr="00AF58C6" w:rsidRDefault="007647F8" w:rsidP="007647F8">
            <w:pPr>
              <w:tabs>
                <w:tab w:val="left" w:pos="57"/>
              </w:tabs>
              <w:spacing w:before="120" w:after="40"/>
              <w:jc w:val="both"/>
              <w:rPr>
                <w:rFonts w:ascii="Arial" w:hAnsi="Arial" w:cs="Arial"/>
                <w:b/>
                <w:color w:val="00B050"/>
                <w:sz w:val="18"/>
                <w:szCs w:val="18"/>
              </w:rPr>
            </w:pPr>
            <w:r w:rsidRPr="00AF58C6">
              <w:rPr>
                <w:rFonts w:ascii="Arial" w:hAnsi="Arial" w:cs="Arial"/>
                <w:b/>
                <w:color w:val="00B050"/>
                <w:sz w:val="18"/>
                <w:szCs w:val="18"/>
              </w:rPr>
              <w:t>Analyse collective et stratégie de formation</w:t>
            </w:r>
          </w:p>
          <w:p w14:paraId="2368E99B"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Comment les temps de partage et d’analyse croisée sur les pratiques pédagogiques sont-ils mis en œuvre au sein de l’établissement ?</w:t>
            </w:r>
          </w:p>
          <w:p w14:paraId="0AD6B0AF"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 xml:space="preserve"> Avec quels moyens ? Selon quelle régularité ? Sous quelle forme ? Qui les coordonne ?</w:t>
            </w:r>
          </w:p>
          <w:p w14:paraId="6944E717"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 xml:space="preserve">Les corps d’inspection sont-ils sollicités et associés sur ce sujet ? </w:t>
            </w:r>
          </w:p>
          <w:p w14:paraId="13623C11"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Quelles démarches de concertation permettent d’identifier les axes de formation spécifiques au projet d’établissement ?</w:t>
            </w:r>
          </w:p>
          <w:p w14:paraId="3AA7226E"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Comment les diverses expertises et les projets de formation des enseignants peuvent enrichir la réflexion collective sur les pratiques pédagogiques ?</w:t>
            </w:r>
          </w:p>
          <w:p w14:paraId="38E0B007" w14:textId="77777777" w:rsidR="007647F8" w:rsidRPr="00AF58C6" w:rsidRDefault="007647F8" w:rsidP="007647F8">
            <w:pPr>
              <w:pStyle w:val="Paragraphedeliste"/>
              <w:widowControl w:val="0"/>
              <w:numPr>
                <w:ilvl w:val="0"/>
                <w:numId w:val="16"/>
              </w:numPr>
              <w:ind w:left="170" w:hanging="142"/>
              <w:rPr>
                <w:rFonts w:ascii="Arial" w:hAnsi="Arial" w:cs="Arial"/>
                <w:sz w:val="18"/>
                <w:szCs w:val="18"/>
              </w:rPr>
            </w:pPr>
            <w:r w:rsidRPr="00AF58C6">
              <w:rPr>
                <w:rFonts w:ascii="Arial" w:hAnsi="Arial" w:cs="Arial"/>
                <w:sz w:val="18"/>
                <w:szCs w:val="18"/>
              </w:rPr>
              <w:t>Comment la réflexion menée à l’échelle de l’établissement et dans le dialogue avec les corps d’inspection est-elle prise en compte dans les projets de formation des enseignants ? En fonction des objectifs, quels formats de formation sont retenus (individuelle, formation d’initiative locale à l’échelle de l’établissement ou du bassin…) ?</w:t>
            </w:r>
          </w:p>
          <w:p w14:paraId="1ECDBCC2" w14:textId="77777777" w:rsidR="007647F8" w:rsidRPr="00AF58C6" w:rsidRDefault="007647F8" w:rsidP="007647F8">
            <w:pPr>
              <w:pStyle w:val="Paragraphedeliste"/>
              <w:widowControl w:val="0"/>
              <w:numPr>
                <w:ilvl w:val="0"/>
                <w:numId w:val="16"/>
              </w:numPr>
              <w:spacing w:after="120"/>
              <w:ind w:left="170" w:hanging="142"/>
              <w:rPr>
                <w:rFonts w:ascii="Arial" w:hAnsi="Arial" w:cs="Arial"/>
                <w:sz w:val="18"/>
                <w:szCs w:val="18"/>
              </w:rPr>
            </w:pPr>
            <w:r w:rsidRPr="00AF58C6">
              <w:rPr>
                <w:rFonts w:ascii="Arial" w:hAnsi="Arial" w:cs="Arial"/>
                <w:sz w:val="18"/>
                <w:szCs w:val="18"/>
              </w:rPr>
              <w:t>Comment la diversité des élèves est-elle prise en compte dans le projet de formation de chaque enseignant ?</w:t>
            </w:r>
          </w:p>
          <w:p w14:paraId="55CF2B80" w14:textId="77777777" w:rsidR="007647F8" w:rsidRPr="00AF58C6" w:rsidRDefault="007647F8" w:rsidP="007647F8">
            <w:pPr>
              <w:widowControl w:val="0"/>
              <w:spacing w:before="120" w:after="40"/>
              <w:ind w:left="57"/>
              <w:jc w:val="both"/>
              <w:rPr>
                <w:rFonts w:ascii="Arial" w:hAnsi="Arial" w:cs="Arial"/>
                <w:b/>
                <w:color w:val="00B050"/>
                <w:sz w:val="18"/>
                <w:szCs w:val="18"/>
              </w:rPr>
            </w:pPr>
            <w:r w:rsidRPr="00AF58C6">
              <w:rPr>
                <w:rFonts w:ascii="Arial" w:hAnsi="Arial" w:cs="Arial"/>
                <w:b/>
                <w:color w:val="00B050"/>
                <w:sz w:val="18"/>
                <w:szCs w:val="18"/>
              </w:rPr>
              <w:t xml:space="preserve"> Prise en compte des acquis</w:t>
            </w:r>
          </w:p>
          <w:p w14:paraId="07C4C337"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Une analyse partagée des acquis des élèves existe-t-elle au début du cycle de formation</w:t>
            </w:r>
            <w:r>
              <w:rPr>
                <w:rFonts w:ascii="Arial" w:hAnsi="Arial" w:cs="Arial"/>
                <w:sz w:val="18"/>
                <w:szCs w:val="18"/>
              </w:rPr>
              <w:t> </w:t>
            </w:r>
            <w:r w:rsidRPr="00AF58C6">
              <w:rPr>
                <w:rFonts w:ascii="Arial" w:hAnsi="Arial" w:cs="Arial"/>
                <w:sz w:val="18"/>
                <w:szCs w:val="18"/>
              </w:rPr>
              <w:t xml:space="preserve">? </w:t>
            </w:r>
          </w:p>
          <w:p w14:paraId="2281D62C"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Comment les constats sont-ils partagés au sein de la communauté éducative de l’établissement, avec l’élève et sa famille</w:t>
            </w:r>
            <w:r>
              <w:rPr>
                <w:rFonts w:ascii="Arial" w:hAnsi="Arial" w:cs="Arial"/>
                <w:sz w:val="18"/>
                <w:szCs w:val="18"/>
              </w:rPr>
              <w:t> </w:t>
            </w:r>
            <w:r w:rsidRPr="00AF58C6">
              <w:rPr>
                <w:rFonts w:ascii="Arial" w:hAnsi="Arial" w:cs="Arial"/>
                <w:sz w:val="18"/>
                <w:szCs w:val="18"/>
              </w:rPr>
              <w:t xml:space="preserve">? </w:t>
            </w:r>
          </w:p>
          <w:p w14:paraId="6A020A82"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 xml:space="preserve">Comment exploite-t-on ce diagnostic ? </w:t>
            </w:r>
          </w:p>
          <w:p w14:paraId="6B5A03BA" w14:textId="77777777" w:rsidR="007647F8" w:rsidRPr="00AF58C6" w:rsidRDefault="007647F8" w:rsidP="007647F8">
            <w:pPr>
              <w:pStyle w:val="Paragraphedeliste"/>
              <w:widowControl w:val="0"/>
              <w:numPr>
                <w:ilvl w:val="0"/>
                <w:numId w:val="16"/>
              </w:numPr>
              <w:spacing w:after="120"/>
              <w:ind w:left="170" w:hanging="142"/>
              <w:rPr>
                <w:rFonts w:ascii="Arial" w:hAnsi="Arial" w:cs="Arial"/>
                <w:sz w:val="18"/>
                <w:szCs w:val="18"/>
              </w:rPr>
            </w:pPr>
            <w:r w:rsidRPr="00AF58C6">
              <w:rPr>
                <w:rFonts w:ascii="Arial" w:hAnsi="Arial" w:cs="Arial"/>
                <w:sz w:val="18"/>
                <w:szCs w:val="18"/>
              </w:rPr>
              <w:t>Comment organise-t-on les enseignements pour favoriser la réussite de l’apprenant ?</w:t>
            </w:r>
          </w:p>
          <w:p w14:paraId="0CCA7452" w14:textId="77777777" w:rsidR="007647F8" w:rsidRPr="00AF58C6" w:rsidRDefault="007647F8" w:rsidP="007647F8">
            <w:pPr>
              <w:widowControl w:val="0"/>
              <w:tabs>
                <w:tab w:val="left" w:pos="57"/>
              </w:tabs>
              <w:spacing w:before="120" w:after="40"/>
              <w:ind w:left="57"/>
              <w:jc w:val="both"/>
              <w:rPr>
                <w:rFonts w:ascii="Arial" w:hAnsi="Arial" w:cs="Arial"/>
                <w:b/>
                <w:color w:val="00B050"/>
                <w:sz w:val="18"/>
                <w:szCs w:val="18"/>
              </w:rPr>
            </w:pPr>
            <w:r w:rsidRPr="00AF58C6">
              <w:rPr>
                <w:rFonts w:ascii="Arial" w:hAnsi="Arial" w:cs="Arial"/>
                <w:b/>
                <w:color w:val="00B050"/>
                <w:sz w:val="18"/>
                <w:szCs w:val="18"/>
              </w:rPr>
              <w:t>Pratiques pédagogiques</w:t>
            </w:r>
          </w:p>
          <w:p w14:paraId="4DDD1DE4"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 xml:space="preserve">Comment l’enseignant s’assure-t-il du bon fonctionnement des apprentissages envisagés chez chaque élève ? Comment l’enseignant adapte-t-il sa posture en fonction du résultat de son observation ? </w:t>
            </w:r>
          </w:p>
          <w:p w14:paraId="36D0A532"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Comment prend-t-il en compte leur parole et leur avis ? leurs difficultés sociales ou matérielles ?</w:t>
            </w:r>
          </w:p>
          <w:p w14:paraId="7D5E422E" w14:textId="77777777" w:rsidR="007647F8" w:rsidRPr="007647F8" w:rsidRDefault="007647F8" w:rsidP="007647F8">
            <w:pPr>
              <w:pStyle w:val="Paragraphedeliste"/>
              <w:widowControl w:val="0"/>
              <w:numPr>
                <w:ilvl w:val="0"/>
                <w:numId w:val="16"/>
              </w:numPr>
              <w:ind w:left="170" w:hanging="142"/>
              <w:rPr>
                <w:rFonts w:ascii="Arial" w:hAnsi="Arial" w:cs="Arial"/>
                <w:sz w:val="18"/>
                <w:szCs w:val="18"/>
              </w:rPr>
            </w:pPr>
            <w:r w:rsidRPr="00AF58C6">
              <w:rPr>
                <w:rFonts w:ascii="Arial" w:hAnsi="Arial" w:cs="Arial"/>
                <w:sz w:val="18"/>
                <w:szCs w:val="18"/>
              </w:rPr>
              <w:t>Comment les différentes modalités pédagogiques (mise en projet, différenciation, personnalisation, interdisciplinarité, classes puzzles…) sont-elles interrogées pour développer les compétences des élèves ?</w:t>
            </w:r>
          </w:p>
          <w:p w14:paraId="5C8677F2" w14:textId="77777777" w:rsidR="007647F8" w:rsidRPr="00AF58C6" w:rsidRDefault="007647F8" w:rsidP="007647F8">
            <w:pPr>
              <w:tabs>
                <w:tab w:val="left" w:pos="57"/>
              </w:tabs>
              <w:spacing w:before="120" w:after="40"/>
              <w:jc w:val="both"/>
              <w:rPr>
                <w:rFonts w:ascii="Arial" w:hAnsi="Arial" w:cs="Arial"/>
                <w:b/>
                <w:color w:val="00B050"/>
                <w:sz w:val="18"/>
                <w:szCs w:val="18"/>
              </w:rPr>
            </w:pPr>
            <w:r w:rsidRPr="00AF58C6">
              <w:rPr>
                <w:rFonts w:ascii="Arial" w:hAnsi="Arial" w:cs="Arial"/>
                <w:b/>
                <w:color w:val="00B050"/>
                <w:sz w:val="18"/>
                <w:szCs w:val="18"/>
              </w:rPr>
              <w:t>Évaluation, poursuite de cycle</w:t>
            </w:r>
          </w:p>
          <w:p w14:paraId="2DB46352"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Comment l’évaluation des compétences des élèves permet-elle de les faire progresser et de les valoriser ?</w:t>
            </w:r>
          </w:p>
          <w:p w14:paraId="7C53038C"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Comment s’organise les échanges interdisciplinaires et l’articulation entre les enseignements professionnels et généraux pour construire un accompagnement éducatif favorable et bienveillant à la réussite du parcours de l’élève ?</w:t>
            </w:r>
          </w:p>
          <w:p w14:paraId="17BC0BFF" w14:textId="77777777" w:rsidR="007647F8" w:rsidRPr="00AF58C6" w:rsidRDefault="007647F8" w:rsidP="007647F8">
            <w:pPr>
              <w:pStyle w:val="Paragraphedeliste"/>
              <w:widowControl w:val="0"/>
              <w:numPr>
                <w:ilvl w:val="0"/>
                <w:numId w:val="16"/>
              </w:numPr>
              <w:spacing w:after="200"/>
              <w:ind w:left="170" w:hanging="142"/>
              <w:rPr>
                <w:rFonts w:ascii="Arial" w:hAnsi="Arial" w:cs="Arial"/>
                <w:sz w:val="18"/>
                <w:szCs w:val="18"/>
              </w:rPr>
            </w:pPr>
            <w:r w:rsidRPr="00AF58C6">
              <w:rPr>
                <w:rFonts w:ascii="Arial" w:hAnsi="Arial" w:cs="Arial"/>
                <w:sz w:val="18"/>
                <w:szCs w:val="18"/>
              </w:rPr>
              <w:t xml:space="preserve">Comment la poursuite du cycle de formation, </w:t>
            </w:r>
            <w:r w:rsidRPr="00AF58C6">
              <w:rPr>
                <w:rFonts w:ascii="Arial" w:hAnsi="Arial" w:cs="Arial"/>
                <w:strike/>
                <w:sz w:val="18"/>
                <w:szCs w:val="18"/>
              </w:rPr>
              <w:t>ou</w:t>
            </w:r>
            <w:r w:rsidRPr="00AF58C6">
              <w:rPr>
                <w:rFonts w:ascii="Arial" w:hAnsi="Arial" w:cs="Arial"/>
                <w:sz w:val="18"/>
                <w:szCs w:val="18"/>
              </w:rPr>
              <w:t xml:space="preserve"> la poursuite d’étude ou le projet d’insertion professionnelle sont-ils pris en compte dans la formation des élèves ?</w:t>
            </w:r>
          </w:p>
          <w:p w14:paraId="2424EC1D" w14:textId="3D9933EE" w:rsidR="007647F8" w:rsidRDefault="007647F8" w:rsidP="00834341">
            <w:pPr>
              <w:pStyle w:val="Paragraphedeliste"/>
              <w:widowControl w:val="0"/>
              <w:numPr>
                <w:ilvl w:val="0"/>
                <w:numId w:val="16"/>
              </w:numPr>
              <w:spacing w:after="120"/>
              <w:ind w:left="170" w:hanging="142"/>
              <w:rPr>
                <w:rFonts w:ascii="Arial" w:hAnsi="Arial" w:cs="Arial"/>
                <w:sz w:val="18"/>
                <w:szCs w:val="18"/>
              </w:rPr>
            </w:pPr>
            <w:r w:rsidRPr="00AF58C6">
              <w:rPr>
                <w:rFonts w:ascii="Arial" w:hAnsi="Arial" w:cs="Arial"/>
                <w:sz w:val="18"/>
                <w:szCs w:val="18"/>
              </w:rPr>
              <w:t xml:space="preserve">Comment sont pris en compte les compétences extra-scolaires dans l’évaluation des élèves, </w:t>
            </w:r>
            <w:r w:rsidR="009A7ECE">
              <w:rPr>
                <w:rFonts w:ascii="Arial" w:hAnsi="Arial" w:cs="Arial"/>
                <w:sz w:val="18"/>
                <w:szCs w:val="18"/>
              </w:rPr>
              <w:t>l’</w:t>
            </w:r>
            <w:r w:rsidRPr="00AF58C6">
              <w:rPr>
                <w:rFonts w:ascii="Arial" w:hAnsi="Arial" w:cs="Arial"/>
                <w:sz w:val="18"/>
                <w:szCs w:val="18"/>
              </w:rPr>
              <w:t>orientation et la poursuite d’étude ?</w:t>
            </w:r>
          </w:p>
          <w:p w14:paraId="56C90052" w14:textId="77777777" w:rsidR="00834341" w:rsidRPr="00935DEE" w:rsidRDefault="00834341" w:rsidP="00834341">
            <w:pPr>
              <w:rPr>
                <w:rFonts w:ascii="Arial" w:eastAsia="MS Mincho" w:hAnsi="Arial" w:cs="Arial"/>
                <w:sz w:val="18"/>
                <w:szCs w:val="18"/>
              </w:rPr>
            </w:pPr>
            <w:r w:rsidRPr="00AF58C6">
              <w:rPr>
                <w:rFonts w:ascii="Arial" w:hAnsi="Arial" w:cs="Arial"/>
                <w:b/>
                <w:i/>
                <w:iCs/>
                <w:color w:val="00B050"/>
                <w:sz w:val="18"/>
                <w:szCs w:val="18"/>
              </w:rPr>
              <w:t xml:space="preserve">Pour un questionnement plus détaillé sur les pratiques d’évaluation </w:t>
            </w:r>
            <w:proofErr w:type="gramStart"/>
            <w:r w:rsidRPr="00AF58C6">
              <w:rPr>
                <w:rFonts w:ascii="Arial" w:hAnsi="Arial" w:cs="Arial"/>
                <w:b/>
                <w:i/>
                <w:iCs/>
                <w:color w:val="00B050"/>
                <w:sz w:val="18"/>
                <w:szCs w:val="18"/>
              </w:rPr>
              <w:t>voir</w:t>
            </w:r>
            <w:proofErr w:type="gramEnd"/>
            <w:r w:rsidRPr="00AF58C6">
              <w:rPr>
                <w:rFonts w:ascii="Arial" w:hAnsi="Arial" w:cs="Arial"/>
                <w:b/>
                <w:i/>
                <w:iCs/>
                <w:color w:val="00B050"/>
                <w:sz w:val="18"/>
                <w:szCs w:val="18"/>
              </w:rPr>
              <w:t xml:space="preserve"> la fiche 1.3 « Évaluer et faire évoluer les modalités d’évaluation des élèves »</w:t>
            </w:r>
          </w:p>
          <w:p w14:paraId="0A127CA0" w14:textId="77777777" w:rsidR="00834341" w:rsidRPr="00AF58C6" w:rsidRDefault="00834341" w:rsidP="00834341">
            <w:pPr>
              <w:pStyle w:val="Paragraphedeliste"/>
              <w:widowControl w:val="0"/>
              <w:spacing w:after="200"/>
              <w:ind w:left="170"/>
              <w:rPr>
                <w:rFonts w:ascii="Arial" w:hAnsi="Arial" w:cs="Arial"/>
                <w:sz w:val="18"/>
                <w:szCs w:val="18"/>
              </w:rPr>
            </w:pPr>
          </w:p>
          <w:p w14:paraId="3CE2AFA0" w14:textId="77777777" w:rsidR="00935DEE" w:rsidRPr="00935DEE" w:rsidRDefault="00935DEE" w:rsidP="00935DEE">
            <w:pPr>
              <w:rPr>
                <w:rFonts w:ascii="Arial" w:eastAsia="MS Mincho" w:hAnsi="Arial" w:cs="Arial"/>
                <w:sz w:val="18"/>
                <w:szCs w:val="18"/>
              </w:rPr>
            </w:pPr>
          </w:p>
          <w:p w14:paraId="3684D5E8" w14:textId="77777777" w:rsidR="00935DEE" w:rsidRDefault="00935DEE" w:rsidP="00935DEE">
            <w:pPr>
              <w:rPr>
                <w:rFonts w:ascii="Arial" w:eastAsia="MS Mincho" w:hAnsi="Arial" w:cs="Arial"/>
                <w:sz w:val="18"/>
                <w:szCs w:val="18"/>
              </w:rPr>
            </w:pPr>
          </w:p>
          <w:p w14:paraId="56F97E75" w14:textId="269CA0B7" w:rsidR="00935DEE" w:rsidRPr="00935DEE" w:rsidRDefault="00513EC2" w:rsidP="00513EC2">
            <w:pPr>
              <w:tabs>
                <w:tab w:val="left" w:pos="1047"/>
              </w:tabs>
              <w:rPr>
                <w:rFonts w:ascii="Arial" w:eastAsia="MS Mincho" w:hAnsi="Arial" w:cs="Arial"/>
                <w:sz w:val="18"/>
                <w:szCs w:val="18"/>
              </w:rPr>
            </w:pPr>
            <w:r>
              <w:rPr>
                <w:rFonts w:ascii="Arial" w:eastAsia="MS Mincho" w:hAnsi="Arial" w:cs="Arial"/>
                <w:sz w:val="18"/>
                <w:szCs w:val="18"/>
              </w:rPr>
              <w:tab/>
            </w:r>
          </w:p>
          <w:p w14:paraId="556D56CA" w14:textId="773C1B44" w:rsidR="00935DEE" w:rsidRPr="00935DEE" w:rsidRDefault="00935DEE" w:rsidP="00935DEE">
            <w:pPr>
              <w:ind w:firstLine="708"/>
              <w:rPr>
                <w:rFonts w:ascii="Arial" w:eastAsia="MS Mincho" w:hAnsi="Arial" w:cs="Arial"/>
                <w:sz w:val="18"/>
                <w:szCs w:val="18"/>
              </w:rPr>
            </w:pPr>
          </w:p>
        </w:tc>
        <w:tc>
          <w:tcPr>
            <w:tcW w:w="283"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2694" w:type="dxa"/>
            <w:gridSpan w:val="2"/>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7647F8">
            <w:pPr>
              <w:spacing w:before="60"/>
              <w:ind w:right="-88"/>
              <w:rPr>
                <w:rFonts w:ascii="Arial" w:hAnsi="Arial" w:cs="Arial"/>
                <w:b/>
                <w:color w:val="EE7444"/>
              </w:rPr>
            </w:pPr>
            <w:r w:rsidRPr="005D2F6B">
              <w:rPr>
                <w:rFonts w:ascii="Arial" w:hAnsi="Arial" w:cs="Arial"/>
                <w:b/>
                <w:color w:val="EE7444"/>
              </w:rPr>
              <w:t>Exemples</w:t>
            </w:r>
            <w:r w:rsidRPr="00401CCB">
              <w:rPr>
                <w:rFonts w:ascii="Arial" w:hAnsi="Arial" w:cs="Arial"/>
                <w:b/>
                <w:color w:val="EE7444"/>
              </w:rPr>
              <w:t xml:space="preserve"> d’indicateurs </w:t>
            </w:r>
          </w:p>
          <w:p w14:paraId="3C5CA21A" w14:textId="77777777" w:rsidR="004B73D9" w:rsidRPr="00401CCB" w:rsidRDefault="004B73D9" w:rsidP="007647F8">
            <w:pPr>
              <w:spacing w:after="120"/>
              <w:ind w:right="-91"/>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5EF50D5E" w14:textId="77777777" w:rsidR="0009739A" w:rsidRPr="0009739A" w:rsidRDefault="0009739A" w:rsidP="007647F8">
            <w:pPr>
              <w:widowControl w:val="0"/>
              <w:tabs>
                <w:tab w:val="left" w:pos="323"/>
              </w:tabs>
              <w:spacing w:after="60"/>
              <w:ind w:right="-88"/>
              <w:rPr>
                <w:rFonts w:ascii="Arial" w:eastAsia="MS Mincho" w:hAnsi="Arial" w:cs="Arial"/>
                <w:sz w:val="18"/>
                <w:szCs w:val="18"/>
              </w:rPr>
            </w:pPr>
            <w:r w:rsidRPr="0009739A">
              <w:rPr>
                <w:rFonts w:ascii="Arial" w:eastAsia="MS Mincho" w:hAnsi="Arial" w:cs="Arial"/>
                <w:sz w:val="18"/>
                <w:szCs w:val="18"/>
              </w:rPr>
              <w:t>Résultats aux évaluations nationales de seconde et aux évaluations certificatives (scores moyens, proportion d’élèves par niveau de maîtrise…)</w:t>
            </w:r>
          </w:p>
          <w:p w14:paraId="7A0EC575" w14:textId="77777777" w:rsidR="0009739A" w:rsidRPr="0009739A" w:rsidRDefault="0009739A" w:rsidP="007647F8">
            <w:pPr>
              <w:widowControl w:val="0"/>
              <w:tabs>
                <w:tab w:val="left" w:pos="323"/>
              </w:tabs>
              <w:spacing w:after="60"/>
              <w:ind w:right="-88"/>
              <w:rPr>
                <w:rFonts w:ascii="Arial" w:eastAsia="MS Mincho" w:hAnsi="Arial" w:cs="Arial"/>
                <w:sz w:val="18"/>
                <w:szCs w:val="18"/>
              </w:rPr>
            </w:pPr>
            <w:r w:rsidRPr="0009739A">
              <w:rPr>
                <w:rFonts w:ascii="Arial" w:eastAsia="MS Mincho" w:hAnsi="Arial" w:cs="Arial"/>
                <w:sz w:val="18"/>
                <w:szCs w:val="18"/>
              </w:rPr>
              <w:t>Taux de réussite en valeur ajoutée, taux de réussite aux examens par indice de positionnement social, notes médianes, notes moyennes et valeur ajoutée, proportion d’élèves par niveau de maîtrise des compétences du socle…</w:t>
            </w:r>
          </w:p>
          <w:p w14:paraId="23BA1271" w14:textId="77777777" w:rsidR="0009739A" w:rsidRPr="0009739A" w:rsidRDefault="0009739A" w:rsidP="007647F8">
            <w:pPr>
              <w:widowControl w:val="0"/>
              <w:tabs>
                <w:tab w:val="left" w:pos="323"/>
              </w:tabs>
              <w:spacing w:after="60"/>
              <w:ind w:right="-88"/>
              <w:rPr>
                <w:rFonts w:ascii="Arial" w:eastAsia="MS Mincho" w:hAnsi="Arial" w:cs="Arial"/>
                <w:sz w:val="18"/>
                <w:szCs w:val="18"/>
              </w:rPr>
            </w:pPr>
            <w:r w:rsidRPr="0009739A">
              <w:rPr>
                <w:rFonts w:ascii="Arial" w:eastAsia="MS Mincho" w:hAnsi="Arial" w:cs="Arial"/>
                <w:sz w:val="18"/>
                <w:szCs w:val="18"/>
              </w:rPr>
              <w:t>Proportion de professeurs participant à des groupes de réflexion pédagogique</w:t>
            </w:r>
          </w:p>
          <w:p w14:paraId="3462331F" w14:textId="77777777" w:rsidR="0009739A" w:rsidRPr="0009739A" w:rsidRDefault="0009739A" w:rsidP="007647F8">
            <w:pPr>
              <w:widowControl w:val="0"/>
              <w:tabs>
                <w:tab w:val="left" w:pos="323"/>
              </w:tabs>
              <w:spacing w:after="60"/>
              <w:ind w:right="-88"/>
              <w:rPr>
                <w:rFonts w:ascii="Arial" w:eastAsia="MS Mincho" w:hAnsi="Arial" w:cs="Arial"/>
                <w:sz w:val="18"/>
                <w:szCs w:val="18"/>
              </w:rPr>
            </w:pPr>
            <w:r w:rsidRPr="0009739A">
              <w:rPr>
                <w:rFonts w:ascii="Arial" w:eastAsia="MS Mincho" w:hAnsi="Arial" w:cs="Arial"/>
                <w:sz w:val="18"/>
                <w:szCs w:val="18"/>
              </w:rPr>
              <w:t>Taux de fréquentation de devoirs faits</w:t>
            </w:r>
          </w:p>
          <w:p w14:paraId="364FFD56" w14:textId="77777777" w:rsidR="0009739A" w:rsidRPr="0009739A" w:rsidRDefault="0009739A" w:rsidP="007647F8">
            <w:pPr>
              <w:widowControl w:val="0"/>
              <w:tabs>
                <w:tab w:val="left" w:pos="323"/>
              </w:tabs>
              <w:spacing w:after="60"/>
              <w:ind w:right="-88"/>
              <w:rPr>
                <w:rFonts w:ascii="Arial" w:eastAsia="MS Mincho" w:hAnsi="Arial" w:cs="Arial"/>
                <w:sz w:val="18"/>
                <w:szCs w:val="18"/>
              </w:rPr>
            </w:pPr>
            <w:r w:rsidRPr="0009739A">
              <w:rPr>
                <w:rFonts w:ascii="Arial" w:eastAsia="MS Mincho" w:hAnsi="Arial" w:cs="Arial"/>
                <w:sz w:val="18"/>
                <w:szCs w:val="18"/>
              </w:rPr>
              <w:t>Indicateurs de mesure des progrès des élèves (notes du contrôle continu, mesure du degré d’acquisition des compétences)</w:t>
            </w:r>
          </w:p>
          <w:p w14:paraId="35B69440" w14:textId="77777777" w:rsidR="0009739A" w:rsidRPr="0009739A" w:rsidRDefault="0009739A" w:rsidP="007647F8">
            <w:pPr>
              <w:widowControl w:val="0"/>
              <w:tabs>
                <w:tab w:val="left" w:pos="323"/>
              </w:tabs>
              <w:spacing w:after="60"/>
              <w:ind w:right="-88"/>
              <w:rPr>
                <w:rFonts w:ascii="Arial" w:eastAsia="MS Mincho" w:hAnsi="Arial" w:cs="Arial"/>
                <w:sz w:val="18"/>
                <w:szCs w:val="18"/>
              </w:rPr>
            </w:pPr>
            <w:r w:rsidRPr="0009739A">
              <w:rPr>
                <w:rFonts w:ascii="Arial" w:eastAsia="MS Mincho" w:hAnsi="Arial" w:cs="Arial"/>
                <w:sz w:val="18"/>
                <w:szCs w:val="18"/>
              </w:rPr>
              <w:t>Indicateurs de suivi de cohortes</w:t>
            </w:r>
          </w:p>
          <w:p w14:paraId="38622415" w14:textId="77777777" w:rsidR="0009739A" w:rsidRPr="0009739A" w:rsidRDefault="0009739A" w:rsidP="007647F8">
            <w:pPr>
              <w:widowControl w:val="0"/>
              <w:tabs>
                <w:tab w:val="left" w:pos="323"/>
              </w:tabs>
              <w:spacing w:after="60"/>
              <w:ind w:right="-88"/>
              <w:rPr>
                <w:rFonts w:ascii="Arial" w:eastAsia="MS Mincho" w:hAnsi="Arial" w:cs="Arial"/>
                <w:sz w:val="18"/>
                <w:szCs w:val="18"/>
              </w:rPr>
            </w:pPr>
            <w:r w:rsidRPr="0009739A">
              <w:rPr>
                <w:rFonts w:ascii="Arial" w:eastAsia="MS Mincho" w:hAnsi="Arial" w:cs="Arial"/>
                <w:sz w:val="18"/>
                <w:szCs w:val="18"/>
              </w:rPr>
              <w:t>Proportion d’élèves qui bénéficient d’un temps d’exploitation du vécu en entreprise (suite à une PFMP, un stage, un mini-stage…) organisés au retour dans l’établissement (cible : 100%)</w:t>
            </w:r>
          </w:p>
          <w:p w14:paraId="496DE2AF" w14:textId="280F0263" w:rsidR="00BE65D0" w:rsidRPr="00401CCB" w:rsidRDefault="0009739A" w:rsidP="007647F8">
            <w:pPr>
              <w:widowControl w:val="0"/>
              <w:tabs>
                <w:tab w:val="left" w:pos="323"/>
              </w:tabs>
              <w:spacing w:after="60"/>
              <w:ind w:right="-88"/>
              <w:rPr>
                <w:rFonts w:ascii="Arial" w:eastAsia="MS Mincho" w:hAnsi="Arial" w:cs="Arial"/>
                <w:sz w:val="18"/>
                <w:szCs w:val="18"/>
              </w:rPr>
            </w:pPr>
            <w:r w:rsidRPr="0009739A">
              <w:rPr>
                <w:rFonts w:ascii="Arial" w:eastAsia="MS Mincho" w:hAnsi="Arial" w:cs="Arial"/>
                <w:sz w:val="18"/>
                <w:szCs w:val="18"/>
              </w:rPr>
              <w:t>Évolution des taux filles-garçons dans les poursuites d’études</w:t>
            </w:r>
          </w:p>
        </w:tc>
      </w:tr>
    </w:tbl>
    <w:p w14:paraId="51D33BC2" w14:textId="77777777" w:rsidR="00513EC2" w:rsidRPr="00513EC2" w:rsidRDefault="00513EC2" w:rsidP="00513EC2">
      <w:pPr>
        <w:sectPr w:rsidR="00513EC2" w:rsidRPr="00513EC2" w:rsidSect="00834341">
          <w:footerReference w:type="default" r:id="rId12"/>
          <w:pgSz w:w="16838" w:h="11906" w:orient="landscape"/>
          <w:pgMar w:top="426" w:right="1387" w:bottom="1" w:left="1134" w:header="567" w:footer="205"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2759117D">
              <wp:simplePos x="0" y="0"/>
              <wp:positionH relativeFrom="column">
                <wp:posOffset>1146810</wp:posOffset>
              </wp:positionH>
              <wp:positionV relativeFrom="paragraph">
                <wp:posOffset>-52070</wp:posOffset>
              </wp:positionV>
              <wp:extent cx="2231136" cy="733425"/>
              <wp:effectExtent l="0" t="0" r="0" b="9525"/>
              <wp:wrapNone/>
              <wp:docPr id="2335" name="Zone de texte 2335"/>
              <wp:cNvGraphicFramePr/>
              <a:graphic xmlns:a="http://schemas.openxmlformats.org/drawingml/2006/main">
                <a:graphicData uri="http://schemas.microsoft.com/office/word/2010/wordprocessingShape">
                  <wps:wsp>
                    <wps:cNvSpPr txBox="1"/>
                    <wps:spPr>
                      <a:xfrm>
                        <a:off x="0" y="0"/>
                        <a:ext cx="2231136"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52090907"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344CC4">
                            <w:rPr>
                              <w:rFonts w:ascii="Calibri" w:hAnsi="Calibri"/>
                              <w:b/>
                              <w:color w:val="00B5C6"/>
                              <w:sz w:val="16"/>
                              <w:szCs w:val="28"/>
                            </w:rPr>
                            <w:t>académie de Besançon –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w:t>
                          </w:r>
                          <w:r w:rsidR="00344CC4">
                            <w:rPr>
                              <w:rFonts w:ascii="Calibri" w:hAnsi="Calibri"/>
                              <w:b/>
                              <w:color w:val="00B5C6"/>
                              <w:sz w:val="16"/>
                              <w:szCs w:val="28"/>
                            </w:rPr>
                            <w:t>, b</w:t>
                          </w:r>
                          <w:r w:rsidR="00935DEE" w:rsidRPr="00935DEE">
                            <w:rPr>
                              <w:rFonts w:ascii="Calibri" w:hAnsi="Calibri"/>
                              <w:b/>
                              <w:color w:val="00B5C6"/>
                              <w:sz w:val="16"/>
                              <w:szCs w:val="28"/>
                            </w:rPr>
                            <w:t>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3pt;margin-top:-4.1pt;width:175.7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" fillcolor="white [3201]" stroked="f" strokeweight=".5pt">
              <v:textbox>
                <w:txbxContent>
                  <w:p w14:paraId="2F782134" w14:textId="52090907"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344CC4">
                      <w:rPr>
                        <w:rFonts w:ascii="Calibri" w:hAnsi="Calibri"/>
                        <w:b/>
                        <w:color w:val="00B5C6"/>
                        <w:sz w:val="16"/>
                        <w:szCs w:val="28"/>
                      </w:rPr>
                      <w:t>académie de Besançon –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w:t>
                    </w:r>
                    <w:r w:rsidR="00344CC4">
                      <w:rPr>
                        <w:rFonts w:ascii="Calibri" w:hAnsi="Calibri"/>
                        <w:b/>
                        <w:color w:val="00B5C6"/>
                        <w:sz w:val="16"/>
                        <w:szCs w:val="28"/>
                      </w:rPr>
                      <w:t>, b</w:t>
                    </w:r>
                    <w:r w:rsidR="00935DEE" w:rsidRPr="00935DEE">
                      <w:rPr>
                        <w:rFonts w:ascii="Calibri" w:hAnsi="Calibri"/>
                        <w:b/>
                        <w:color w:val="00B5C6"/>
                        <w:sz w:val="16"/>
                        <w:szCs w:val="28"/>
                      </w:rPr>
                      <w:t>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627EDA13"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344CC4">
                            <w:rPr>
                              <w:rFonts w:ascii="Marianne" w:hAnsi="Marianne"/>
                              <w:b/>
                              <w:color w:val="00B5C6"/>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627EDA13"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344CC4">
                      <w:rPr>
                        <w:rFonts w:ascii="Marianne" w:hAnsi="Marianne"/>
                        <w:b/>
                        <w:color w:val="00B5C6"/>
                        <w:sz w:val="24"/>
                        <w:szCs w:val="24"/>
                      </w:rPr>
                      <w:t>1</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2472"/>
    <w:multiLevelType w:val="hybridMultilevel"/>
    <w:tmpl w:val="59E87C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814345"/>
    <w:multiLevelType w:val="hybridMultilevel"/>
    <w:tmpl w:val="F63E29D0"/>
    <w:lvl w:ilvl="0" w:tplc="020610A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C555A"/>
    <w:multiLevelType w:val="hybridMultilevel"/>
    <w:tmpl w:val="274E6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10"/>
  </w:num>
  <w:num w:numId="2" w16cid:durableId="1496527722">
    <w:abstractNumId w:val="0"/>
  </w:num>
  <w:num w:numId="3" w16cid:durableId="1942570898">
    <w:abstractNumId w:val="8"/>
  </w:num>
  <w:num w:numId="4" w16cid:durableId="8222907">
    <w:abstractNumId w:val="13"/>
  </w:num>
  <w:num w:numId="5" w16cid:durableId="2008701794">
    <w:abstractNumId w:val="9"/>
  </w:num>
  <w:num w:numId="6" w16cid:durableId="514928024">
    <w:abstractNumId w:val="7"/>
  </w:num>
  <w:num w:numId="7" w16cid:durableId="369577301">
    <w:abstractNumId w:val="15"/>
  </w:num>
  <w:num w:numId="8" w16cid:durableId="1352150428">
    <w:abstractNumId w:val="12"/>
  </w:num>
  <w:num w:numId="9" w16cid:durableId="610284317">
    <w:abstractNumId w:val="6"/>
  </w:num>
  <w:num w:numId="10" w16cid:durableId="971638984">
    <w:abstractNumId w:val="2"/>
  </w:num>
  <w:num w:numId="11" w16cid:durableId="526454694">
    <w:abstractNumId w:val="3"/>
  </w:num>
  <w:num w:numId="12" w16cid:durableId="944579204">
    <w:abstractNumId w:val="11"/>
  </w:num>
  <w:num w:numId="13" w16cid:durableId="1464075894">
    <w:abstractNumId w:val="5"/>
  </w:num>
  <w:num w:numId="14" w16cid:durableId="1554779285">
    <w:abstractNumId w:val="14"/>
  </w:num>
  <w:num w:numId="15" w16cid:durableId="1573925523">
    <w:abstractNumId w:val="4"/>
  </w:num>
  <w:num w:numId="16" w16cid:durableId="176595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416FD"/>
    <w:rsid w:val="000818C2"/>
    <w:rsid w:val="000850E8"/>
    <w:rsid w:val="0009739A"/>
    <w:rsid w:val="000A1EDB"/>
    <w:rsid w:val="000A6FED"/>
    <w:rsid w:val="000C032B"/>
    <w:rsid w:val="000D1AEE"/>
    <w:rsid w:val="000F4D07"/>
    <w:rsid w:val="0012632A"/>
    <w:rsid w:val="00127EA9"/>
    <w:rsid w:val="0013428E"/>
    <w:rsid w:val="001407FA"/>
    <w:rsid w:val="001A4A6A"/>
    <w:rsid w:val="001B37E2"/>
    <w:rsid w:val="001E1709"/>
    <w:rsid w:val="00224C3B"/>
    <w:rsid w:val="00233826"/>
    <w:rsid w:val="00246FD9"/>
    <w:rsid w:val="002515C9"/>
    <w:rsid w:val="002838D7"/>
    <w:rsid w:val="00286C64"/>
    <w:rsid w:val="00287D65"/>
    <w:rsid w:val="002A5DE8"/>
    <w:rsid w:val="002B1FB6"/>
    <w:rsid w:val="00300E11"/>
    <w:rsid w:val="00335D4E"/>
    <w:rsid w:val="003426AD"/>
    <w:rsid w:val="00344CC4"/>
    <w:rsid w:val="003B2904"/>
    <w:rsid w:val="003F19AB"/>
    <w:rsid w:val="00401CCB"/>
    <w:rsid w:val="00436D64"/>
    <w:rsid w:val="00464261"/>
    <w:rsid w:val="00484223"/>
    <w:rsid w:val="004B62D6"/>
    <w:rsid w:val="004B73D9"/>
    <w:rsid w:val="004C5166"/>
    <w:rsid w:val="004D6944"/>
    <w:rsid w:val="00513EC2"/>
    <w:rsid w:val="0055112B"/>
    <w:rsid w:val="005D2F6B"/>
    <w:rsid w:val="00640C67"/>
    <w:rsid w:val="0065494F"/>
    <w:rsid w:val="00660471"/>
    <w:rsid w:val="00662A18"/>
    <w:rsid w:val="00670AE4"/>
    <w:rsid w:val="00693520"/>
    <w:rsid w:val="006A784C"/>
    <w:rsid w:val="006B3050"/>
    <w:rsid w:val="006C2652"/>
    <w:rsid w:val="006C3AA4"/>
    <w:rsid w:val="006F1317"/>
    <w:rsid w:val="007256F1"/>
    <w:rsid w:val="0074412C"/>
    <w:rsid w:val="007647F8"/>
    <w:rsid w:val="00765749"/>
    <w:rsid w:val="007B5ED0"/>
    <w:rsid w:val="00816F70"/>
    <w:rsid w:val="00817537"/>
    <w:rsid w:val="00830716"/>
    <w:rsid w:val="00834341"/>
    <w:rsid w:val="00863C62"/>
    <w:rsid w:val="008702A8"/>
    <w:rsid w:val="0087071A"/>
    <w:rsid w:val="00871D88"/>
    <w:rsid w:val="0087536D"/>
    <w:rsid w:val="008C62CE"/>
    <w:rsid w:val="008F3D0F"/>
    <w:rsid w:val="008F4D8F"/>
    <w:rsid w:val="00902070"/>
    <w:rsid w:val="00905628"/>
    <w:rsid w:val="00935DEE"/>
    <w:rsid w:val="00993767"/>
    <w:rsid w:val="009A7ECE"/>
    <w:rsid w:val="009E77A4"/>
    <w:rsid w:val="009F1970"/>
    <w:rsid w:val="00A229F4"/>
    <w:rsid w:val="00A9517C"/>
    <w:rsid w:val="00A97672"/>
    <w:rsid w:val="00AA0CB0"/>
    <w:rsid w:val="00AC414F"/>
    <w:rsid w:val="00AC7DD5"/>
    <w:rsid w:val="00B04563"/>
    <w:rsid w:val="00B24E14"/>
    <w:rsid w:val="00B37D7D"/>
    <w:rsid w:val="00B44C13"/>
    <w:rsid w:val="00B4659B"/>
    <w:rsid w:val="00B471F2"/>
    <w:rsid w:val="00B65C50"/>
    <w:rsid w:val="00B850CF"/>
    <w:rsid w:val="00B87B70"/>
    <w:rsid w:val="00BA47D0"/>
    <w:rsid w:val="00BC2A6A"/>
    <w:rsid w:val="00BD0C56"/>
    <w:rsid w:val="00BE65D0"/>
    <w:rsid w:val="00BF1B79"/>
    <w:rsid w:val="00C23442"/>
    <w:rsid w:val="00C73334"/>
    <w:rsid w:val="00CA7A6B"/>
    <w:rsid w:val="00CC73DE"/>
    <w:rsid w:val="00CC79D9"/>
    <w:rsid w:val="00CF60FD"/>
    <w:rsid w:val="00D00107"/>
    <w:rsid w:val="00D04DB2"/>
    <w:rsid w:val="00D403B1"/>
    <w:rsid w:val="00D4569F"/>
    <w:rsid w:val="00D468E4"/>
    <w:rsid w:val="00D7761A"/>
    <w:rsid w:val="00DB56D0"/>
    <w:rsid w:val="00E033AF"/>
    <w:rsid w:val="00E368D5"/>
    <w:rsid w:val="00E67071"/>
    <w:rsid w:val="00E92E4C"/>
    <w:rsid w:val="00F025EA"/>
    <w:rsid w:val="00F079D0"/>
    <w:rsid w:val="00F5376E"/>
    <w:rsid w:val="00F70AC2"/>
    <w:rsid w:val="00F75259"/>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67"/>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idSectionTA=LEGISCTA000021754087&amp;cidTexte=LEGITEXT0000060711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legifrance.gouv.fr/codes/article_lc/LEGIARTI000043982569/2022-09-01/" TargetMode="External"/><Relationship Id="rId4" Type="http://schemas.openxmlformats.org/officeDocument/2006/relationships/settings" Target="settings.xml"/><Relationship Id="rId9" Type="http://schemas.openxmlformats.org/officeDocument/2006/relationships/hyperlink" Target="https://www.legifrance.gouv.fr/affichTexteArticle.do;jsessionid=B6B5AA9F121D21DE0F5EE38E6AE34DBD.tplgfr29s_3?idArticle=JORFARTI000038829131&amp;cidTexte=JORFTEXT000038829065&amp;dateTexte=29990101&amp;categorieLien=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825</Words>
  <Characters>4539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10</cp:revision>
  <dcterms:created xsi:type="dcterms:W3CDTF">2026-01-25T20:18:00Z</dcterms:created>
  <dcterms:modified xsi:type="dcterms:W3CDTF">2026-01-29T13:49:00Z</dcterms:modified>
</cp:coreProperties>
</file>